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0C2B" w14:textId="77777777" w:rsidR="00F67C42" w:rsidRPr="00F74925" w:rsidRDefault="00EA7A2B">
      <w:pPr>
        <w:shd w:val="clear" w:color="auto" w:fill="FFFFFF"/>
        <w:spacing w:before="100" w:beforeAutospacing="1" w:after="100" w:afterAutospacing="1" w:line="312" w:lineRule="atLeast"/>
        <w:jc w:val="center"/>
        <w:rPr>
          <w:rFonts w:ascii="Calibri" w:eastAsia="Times New Roman" w:hAnsi="Calibri" w:cs="Calibri"/>
          <w:color w:val="000000"/>
        </w:rPr>
      </w:pPr>
      <w:r w:rsidRPr="00F74925">
        <w:rPr>
          <w:rFonts w:ascii="Calibri" w:eastAsia="Times New Roman" w:hAnsi="Calibri" w:cs="Calibri"/>
          <w:b/>
          <w:bCs/>
          <w:color w:val="000000"/>
        </w:rPr>
        <w:t>California Water Service Group</w:t>
      </w:r>
      <w:r w:rsidRPr="00F74925">
        <w:rPr>
          <w:rFonts w:ascii="Calibri" w:eastAsia="Times New Roman" w:hAnsi="Calibri" w:cs="Calibri"/>
          <w:b/>
          <w:bCs/>
          <w:color w:val="000000"/>
        </w:rPr>
        <w:br/>
        <w:t>Organization and Compensation Committee Charter</w:t>
      </w:r>
    </w:p>
    <w:p w14:paraId="44FCD16C" w14:textId="77777777" w:rsidR="00F67C42" w:rsidRPr="00F74925" w:rsidRDefault="00EA7A2B" w:rsidP="00087776">
      <w:pPr>
        <w:shd w:val="clear" w:color="auto" w:fill="FFFFFF"/>
        <w:rPr>
          <w:rFonts w:ascii="Calibri" w:eastAsia="Times New Roman" w:hAnsi="Calibri" w:cs="Calibri"/>
          <w:color w:val="000000"/>
        </w:rPr>
      </w:pPr>
      <w:r w:rsidRPr="00F74925">
        <w:rPr>
          <w:rFonts w:ascii="Calibri" w:eastAsia="Times New Roman" w:hAnsi="Calibri" w:cs="Calibri"/>
          <w:b/>
          <w:bCs/>
          <w:color w:val="000000"/>
        </w:rPr>
        <w:t xml:space="preserve">I. </w:t>
      </w:r>
      <w:r w:rsidRPr="00F74925">
        <w:rPr>
          <w:rFonts w:ascii="Calibri" w:eastAsia="Times New Roman" w:hAnsi="Calibri" w:cs="Calibri"/>
          <w:b/>
          <w:bCs/>
          <w:color w:val="000000"/>
          <w:u w:val="single"/>
        </w:rPr>
        <w:t>Purpose</w:t>
      </w:r>
    </w:p>
    <w:p w14:paraId="31FAE331" w14:textId="77777777" w:rsidR="00F67C42" w:rsidRPr="00F74925" w:rsidRDefault="00EA7A2B">
      <w:pPr>
        <w:shd w:val="clear" w:color="auto" w:fill="FFFFFF"/>
        <w:spacing w:before="100" w:beforeAutospacing="1" w:after="100" w:afterAutospacing="1" w:line="312" w:lineRule="atLeast"/>
        <w:rPr>
          <w:rFonts w:ascii="Calibri" w:eastAsia="Times New Roman" w:hAnsi="Calibri" w:cs="Calibri"/>
          <w:color w:val="000000"/>
        </w:rPr>
      </w:pPr>
      <w:r w:rsidRPr="00F74925">
        <w:rPr>
          <w:rFonts w:ascii="Calibri" w:eastAsia="Times New Roman" w:hAnsi="Calibri" w:cs="Calibri"/>
          <w:color w:val="000000"/>
        </w:rPr>
        <w:t>The purpose of the Organization and Compensation Committee (the “Committee”) is to assist the Board of Directors (the “Board”) of California Water Service Group (the “Company”) in discharging its responsibilities relating to compensation of the Company’s executive officers.</w:t>
      </w:r>
    </w:p>
    <w:p w14:paraId="00EAA92B" w14:textId="77777777" w:rsidR="00F67C42" w:rsidRPr="00F74925" w:rsidRDefault="00EA7A2B" w:rsidP="00087776">
      <w:pPr>
        <w:shd w:val="clear" w:color="auto" w:fill="FFFFFF"/>
        <w:rPr>
          <w:rFonts w:ascii="Calibri" w:eastAsia="Times New Roman" w:hAnsi="Calibri" w:cs="Calibri"/>
          <w:color w:val="000000"/>
        </w:rPr>
      </w:pPr>
      <w:r w:rsidRPr="00F74925">
        <w:rPr>
          <w:rFonts w:ascii="Calibri" w:eastAsia="Times New Roman" w:hAnsi="Calibri" w:cs="Calibri"/>
          <w:b/>
          <w:bCs/>
          <w:color w:val="000000"/>
        </w:rPr>
        <w:t xml:space="preserve">II. </w:t>
      </w:r>
      <w:r w:rsidRPr="00F74925">
        <w:rPr>
          <w:rFonts w:ascii="Calibri" w:eastAsia="Times New Roman" w:hAnsi="Calibri" w:cs="Calibri"/>
          <w:b/>
          <w:bCs/>
          <w:color w:val="000000"/>
          <w:u w:val="single"/>
        </w:rPr>
        <w:t>Committee Membership</w:t>
      </w:r>
    </w:p>
    <w:p w14:paraId="45688C58" w14:textId="1DEB0CE0" w:rsidR="00F67C42" w:rsidRPr="00F74925" w:rsidRDefault="00EA7A2B">
      <w:pPr>
        <w:shd w:val="clear" w:color="auto" w:fill="FFFFFF"/>
        <w:spacing w:before="100" w:beforeAutospacing="1" w:after="100" w:afterAutospacing="1" w:line="312" w:lineRule="atLeast"/>
        <w:rPr>
          <w:rFonts w:ascii="Calibri" w:eastAsia="Times New Roman" w:hAnsi="Calibri" w:cs="Calibri"/>
          <w:color w:val="000000"/>
        </w:rPr>
      </w:pPr>
      <w:r w:rsidRPr="00F74925">
        <w:rPr>
          <w:rFonts w:ascii="Calibri" w:eastAsia="Times New Roman" w:hAnsi="Calibri" w:cs="Calibri"/>
          <w:color w:val="000000"/>
        </w:rPr>
        <w:t xml:space="preserve">The Committee will consist of </w:t>
      </w:r>
      <w:r w:rsidR="009A73EF" w:rsidRPr="00F74925">
        <w:rPr>
          <w:rFonts w:ascii="Calibri" w:eastAsia="Times New Roman" w:hAnsi="Calibri" w:cs="Calibri"/>
          <w:color w:val="000000"/>
        </w:rPr>
        <w:t>three o</w:t>
      </w:r>
      <w:r w:rsidR="00AF0C31" w:rsidRPr="00F74925">
        <w:rPr>
          <w:rFonts w:ascii="Calibri" w:eastAsia="Times New Roman" w:hAnsi="Calibri" w:cs="Calibri"/>
          <w:color w:val="000000"/>
        </w:rPr>
        <w:t>r</w:t>
      </w:r>
      <w:r w:rsidR="009A73EF" w:rsidRPr="00F74925">
        <w:rPr>
          <w:rFonts w:ascii="Calibri" w:eastAsia="Times New Roman" w:hAnsi="Calibri" w:cs="Calibri"/>
          <w:color w:val="000000"/>
        </w:rPr>
        <w:t xml:space="preserve"> more</w:t>
      </w:r>
      <w:r w:rsidRPr="00F74925">
        <w:rPr>
          <w:rFonts w:ascii="Calibri" w:eastAsia="Times New Roman" w:hAnsi="Calibri" w:cs="Calibri"/>
          <w:color w:val="000000"/>
        </w:rPr>
        <w:t xml:space="preserve"> independent directors appointed by the Board based on the recommendation of the Nominating/Corporate Governance Committee. For purposes hereof, an “independent” director is a director who meets the New York Stock Exchange </w:t>
      </w:r>
      <w:r w:rsidR="00E17FD5" w:rsidRPr="00F74925">
        <w:rPr>
          <w:rFonts w:ascii="Calibri" w:eastAsia="Times New Roman" w:hAnsi="Calibri" w:cs="Calibri"/>
          <w:color w:val="000000"/>
        </w:rPr>
        <w:t xml:space="preserve">(“NYSE”) </w:t>
      </w:r>
      <w:r w:rsidRPr="00F74925">
        <w:rPr>
          <w:rFonts w:ascii="Calibri" w:eastAsia="Times New Roman" w:hAnsi="Calibri" w:cs="Calibri"/>
          <w:color w:val="000000"/>
        </w:rPr>
        <w:t>definition of “independence” applicable to directors and compensation committee members, as determined by the Board. The Board will designate one member of the Committee to serve as Chair. Additionally, members of the Committee must qualify as “non-employee directors” for purposes of Rule 16b-3 under the Securities Exchange Act of 1934.</w:t>
      </w:r>
    </w:p>
    <w:p w14:paraId="56DCEEE0" w14:textId="77777777" w:rsidR="00F67C42" w:rsidRPr="00F74925" w:rsidRDefault="00EA7A2B" w:rsidP="002502AE">
      <w:pPr>
        <w:shd w:val="clear" w:color="auto" w:fill="FFFFFF"/>
        <w:spacing w:before="100" w:beforeAutospacing="1" w:after="100" w:afterAutospacing="1" w:line="312" w:lineRule="atLeast"/>
        <w:rPr>
          <w:rFonts w:ascii="Calibri" w:eastAsia="Times New Roman" w:hAnsi="Calibri" w:cs="Calibri"/>
          <w:color w:val="000000"/>
        </w:rPr>
      </w:pPr>
      <w:r w:rsidRPr="00F74925">
        <w:rPr>
          <w:rFonts w:ascii="Calibri" w:eastAsia="Times New Roman" w:hAnsi="Calibri" w:cs="Calibri"/>
          <w:b/>
          <w:bCs/>
          <w:color w:val="000000"/>
        </w:rPr>
        <w:t xml:space="preserve">III. </w:t>
      </w:r>
      <w:r w:rsidRPr="00F74925">
        <w:rPr>
          <w:rFonts w:ascii="Calibri" w:eastAsia="Times New Roman" w:hAnsi="Calibri" w:cs="Calibri"/>
          <w:b/>
          <w:bCs/>
          <w:color w:val="000000"/>
          <w:u w:val="single"/>
        </w:rPr>
        <w:t>Meetings</w:t>
      </w:r>
    </w:p>
    <w:p w14:paraId="74C4E3AF" w14:textId="77777777" w:rsidR="00F67C42" w:rsidRPr="00F74925" w:rsidRDefault="00EA7A2B">
      <w:pPr>
        <w:shd w:val="clear" w:color="auto" w:fill="FFFFFF"/>
        <w:spacing w:before="100" w:beforeAutospacing="1" w:after="100" w:afterAutospacing="1" w:line="312" w:lineRule="atLeast"/>
        <w:rPr>
          <w:rFonts w:ascii="Calibri" w:eastAsia="Times New Roman" w:hAnsi="Calibri" w:cs="Calibri"/>
          <w:color w:val="000000"/>
        </w:rPr>
      </w:pPr>
      <w:r w:rsidRPr="00F74925">
        <w:rPr>
          <w:rFonts w:ascii="Calibri" w:eastAsia="Times New Roman" w:hAnsi="Calibri" w:cs="Calibri"/>
          <w:color w:val="000000"/>
        </w:rPr>
        <w:t xml:space="preserve">The Committee will meet as often as may be deemed necessary or appropriate, in its judgment, and at such times and places as the Committee </w:t>
      </w:r>
      <w:r w:rsidR="008006D4" w:rsidRPr="00F74925">
        <w:rPr>
          <w:rFonts w:ascii="Calibri" w:eastAsia="Times New Roman" w:hAnsi="Calibri" w:cs="Calibri"/>
          <w:color w:val="000000"/>
        </w:rPr>
        <w:t xml:space="preserve">or its Chair </w:t>
      </w:r>
      <w:r w:rsidRPr="00F74925">
        <w:rPr>
          <w:rFonts w:ascii="Calibri" w:eastAsia="Times New Roman" w:hAnsi="Calibri" w:cs="Calibri"/>
          <w:color w:val="000000"/>
        </w:rPr>
        <w:t xml:space="preserve">determines. </w:t>
      </w:r>
      <w:proofErr w:type="gramStart"/>
      <w:r w:rsidRPr="00F74925">
        <w:rPr>
          <w:rFonts w:ascii="Calibri" w:eastAsia="Times New Roman" w:hAnsi="Calibri" w:cs="Calibri"/>
          <w:color w:val="000000"/>
        </w:rPr>
        <w:t>The majority of</w:t>
      </w:r>
      <w:proofErr w:type="gramEnd"/>
      <w:r w:rsidRPr="00F74925">
        <w:rPr>
          <w:rFonts w:ascii="Calibri" w:eastAsia="Times New Roman" w:hAnsi="Calibri" w:cs="Calibri"/>
          <w:color w:val="000000"/>
        </w:rPr>
        <w:t xml:space="preserve"> the members of the Committee constitutes a quorum. The Committee will report regularly to the full Board with respect to its activities.</w:t>
      </w:r>
    </w:p>
    <w:p w14:paraId="6B829130" w14:textId="577CB3F9" w:rsidR="00E86D4E" w:rsidRPr="00F74925" w:rsidRDefault="005D717C" w:rsidP="00087776">
      <w:pPr>
        <w:shd w:val="clear" w:color="auto" w:fill="FFFFFF"/>
        <w:rPr>
          <w:rFonts w:ascii="Calibri" w:eastAsia="Times New Roman" w:hAnsi="Calibri" w:cs="Calibri"/>
          <w:b/>
          <w:bCs/>
          <w:color w:val="000000"/>
        </w:rPr>
      </w:pPr>
      <w:r w:rsidRPr="00F74925">
        <w:rPr>
          <w:rFonts w:ascii="Calibri" w:eastAsia="Times New Roman" w:hAnsi="Calibri" w:cs="Calibri"/>
          <w:b/>
          <w:bCs/>
          <w:color w:val="000000"/>
        </w:rPr>
        <w:t xml:space="preserve">IV. </w:t>
      </w:r>
      <w:r w:rsidR="00E86D4E" w:rsidRPr="00F74925">
        <w:rPr>
          <w:rFonts w:ascii="Calibri" w:eastAsia="Times New Roman" w:hAnsi="Calibri" w:cs="Calibri"/>
          <w:b/>
          <w:bCs/>
          <w:color w:val="000000"/>
          <w:u w:val="single"/>
        </w:rPr>
        <w:t>Subcommittees</w:t>
      </w:r>
    </w:p>
    <w:p w14:paraId="7AF5CF50" w14:textId="61D7FA4C" w:rsidR="00E86D4E" w:rsidRPr="00F74925" w:rsidRDefault="00E86D4E" w:rsidP="00087776">
      <w:pPr>
        <w:shd w:val="clear" w:color="auto" w:fill="FFFFFF"/>
        <w:rPr>
          <w:rFonts w:ascii="Calibri" w:eastAsia="Times New Roman" w:hAnsi="Calibri" w:cs="Calibri"/>
          <w:color w:val="000000"/>
          <w:u w:val="single"/>
        </w:rPr>
      </w:pPr>
    </w:p>
    <w:p w14:paraId="1DAF2107" w14:textId="49495D06" w:rsidR="00E86D4E" w:rsidRPr="00F74925" w:rsidRDefault="00E86D4E" w:rsidP="00087776">
      <w:pPr>
        <w:shd w:val="clear" w:color="auto" w:fill="FFFFFF"/>
        <w:rPr>
          <w:rFonts w:ascii="Calibri" w:eastAsia="Times New Roman" w:hAnsi="Calibri" w:cs="Calibri"/>
          <w:color w:val="000000"/>
        </w:rPr>
      </w:pPr>
      <w:r w:rsidRPr="00F74925">
        <w:rPr>
          <w:rFonts w:ascii="Calibri" w:eastAsia="Times New Roman" w:hAnsi="Calibri" w:cs="Calibri"/>
          <w:color w:val="000000"/>
        </w:rPr>
        <w:t>The Committee may delegate its duties and responsibilities to one or more subcommittees, consisting of not less than two members of the Committee, as it determines appropriate</w:t>
      </w:r>
      <w:r w:rsidR="00B6550D" w:rsidRPr="00F74925">
        <w:rPr>
          <w:rFonts w:ascii="Calibri" w:eastAsia="Times New Roman" w:hAnsi="Calibri" w:cs="Calibri"/>
          <w:color w:val="000000"/>
        </w:rPr>
        <w:t>.</w:t>
      </w:r>
    </w:p>
    <w:p w14:paraId="2F2A005D" w14:textId="77777777" w:rsidR="00E86D4E" w:rsidRPr="00F74925" w:rsidRDefault="00E86D4E" w:rsidP="00087776">
      <w:pPr>
        <w:shd w:val="clear" w:color="auto" w:fill="FFFFFF"/>
        <w:rPr>
          <w:rFonts w:ascii="Calibri" w:eastAsia="Times New Roman" w:hAnsi="Calibri" w:cs="Calibri"/>
          <w:color w:val="000000"/>
          <w:u w:val="single"/>
        </w:rPr>
      </w:pPr>
    </w:p>
    <w:p w14:paraId="405FA863" w14:textId="3FD8DD09" w:rsidR="00F67C42" w:rsidRPr="00F74925" w:rsidRDefault="00EA7A2B" w:rsidP="00087776">
      <w:pPr>
        <w:shd w:val="clear" w:color="auto" w:fill="FFFFFF"/>
        <w:rPr>
          <w:rFonts w:ascii="Calibri" w:eastAsia="Times New Roman" w:hAnsi="Calibri" w:cs="Calibri"/>
          <w:color w:val="000000"/>
        </w:rPr>
      </w:pPr>
      <w:r w:rsidRPr="00F74925">
        <w:rPr>
          <w:rFonts w:ascii="Calibri" w:eastAsia="Times New Roman" w:hAnsi="Calibri" w:cs="Calibri"/>
          <w:b/>
          <w:bCs/>
          <w:color w:val="000000"/>
        </w:rPr>
        <w:t xml:space="preserve">V. </w:t>
      </w:r>
      <w:r w:rsidRPr="00F74925">
        <w:rPr>
          <w:rFonts w:ascii="Calibri" w:eastAsia="Times New Roman" w:hAnsi="Calibri" w:cs="Calibri"/>
          <w:b/>
          <w:bCs/>
          <w:color w:val="000000"/>
          <w:u w:val="single"/>
        </w:rPr>
        <w:t>Outside Advisors</w:t>
      </w:r>
    </w:p>
    <w:p w14:paraId="30CBA287" w14:textId="77777777" w:rsidR="00F67C42" w:rsidRPr="00F74925" w:rsidRDefault="00EA7A2B">
      <w:pPr>
        <w:shd w:val="clear" w:color="auto" w:fill="FFFFFF"/>
        <w:spacing w:before="100" w:beforeAutospacing="1" w:after="100" w:afterAutospacing="1" w:line="312" w:lineRule="atLeast"/>
        <w:rPr>
          <w:rFonts w:ascii="Calibri" w:eastAsia="Times New Roman" w:hAnsi="Calibri" w:cs="Calibri"/>
          <w:color w:val="000000"/>
        </w:rPr>
      </w:pPr>
      <w:r w:rsidRPr="00F74925">
        <w:rPr>
          <w:rFonts w:ascii="Calibri" w:eastAsia="Times New Roman" w:hAnsi="Calibri" w:cs="Calibri"/>
          <w:color w:val="000000"/>
        </w:rPr>
        <w:t>The Committee will have the authority</w:t>
      </w:r>
      <w:r w:rsidR="00E17FD5" w:rsidRPr="00F74925">
        <w:rPr>
          <w:rFonts w:ascii="Calibri" w:eastAsia="Times New Roman" w:hAnsi="Calibri" w:cs="Calibri"/>
          <w:color w:val="000000"/>
        </w:rPr>
        <w:t>,</w:t>
      </w:r>
      <w:r w:rsidRPr="00F74925">
        <w:rPr>
          <w:rFonts w:ascii="Calibri" w:eastAsia="Times New Roman" w:hAnsi="Calibri" w:cs="Calibri"/>
          <w:color w:val="000000"/>
        </w:rPr>
        <w:t xml:space="preserve"> </w:t>
      </w:r>
      <w:r w:rsidR="00E17FD5" w:rsidRPr="00F74925">
        <w:rPr>
          <w:rFonts w:ascii="Calibri" w:eastAsia="Times New Roman" w:hAnsi="Calibri" w:cs="Calibri"/>
          <w:color w:val="000000"/>
        </w:rPr>
        <w:t xml:space="preserve">in its sole discretion, </w:t>
      </w:r>
      <w:r w:rsidRPr="00F74925">
        <w:rPr>
          <w:rFonts w:ascii="Calibri" w:eastAsia="Times New Roman" w:hAnsi="Calibri" w:cs="Calibri"/>
          <w:color w:val="000000"/>
        </w:rPr>
        <w:t xml:space="preserve">to retain </w:t>
      </w:r>
      <w:r w:rsidR="00944DDB" w:rsidRPr="00F74925">
        <w:rPr>
          <w:rFonts w:ascii="Calibri" w:eastAsia="Times New Roman" w:hAnsi="Calibri" w:cs="Calibri"/>
          <w:color w:val="000000"/>
        </w:rPr>
        <w:t>or obtain the advice of</w:t>
      </w:r>
      <w:r w:rsidR="00E17FD5" w:rsidRPr="00F74925">
        <w:rPr>
          <w:rFonts w:ascii="Calibri" w:eastAsia="Times New Roman" w:hAnsi="Calibri" w:cs="Calibri"/>
          <w:color w:val="000000"/>
        </w:rPr>
        <w:t xml:space="preserve"> </w:t>
      </w:r>
      <w:r w:rsidRPr="00F74925">
        <w:rPr>
          <w:rFonts w:ascii="Calibri" w:eastAsia="Times New Roman" w:hAnsi="Calibri" w:cs="Calibri"/>
          <w:color w:val="000000"/>
        </w:rPr>
        <w:t xml:space="preserve">such outside counsel, experts and other advisors as it determines appropriate to assist it in the full performance of its functions, including any compensation consultant used to assist the Committee in the evaluation of Chief Executive Officer (“CEO”) or senior executive compensation.  The Committee will receive appropriate funding from the Company, as determined by the Committee, for payment of </w:t>
      </w:r>
      <w:r w:rsidR="00481CCB" w:rsidRPr="00F74925">
        <w:rPr>
          <w:rFonts w:ascii="Calibri" w:eastAsia="Times New Roman" w:hAnsi="Calibri" w:cs="Calibri"/>
          <w:color w:val="000000"/>
        </w:rPr>
        <w:t xml:space="preserve">reasonable </w:t>
      </w:r>
      <w:r w:rsidRPr="00F74925">
        <w:rPr>
          <w:rFonts w:ascii="Calibri" w:eastAsia="Times New Roman" w:hAnsi="Calibri" w:cs="Calibri"/>
          <w:color w:val="000000"/>
        </w:rPr>
        <w:t>compensation to any consultants and advisors</w:t>
      </w:r>
      <w:r w:rsidR="00944DDB" w:rsidRPr="00F74925">
        <w:rPr>
          <w:rFonts w:ascii="Calibri" w:eastAsia="Times New Roman" w:hAnsi="Calibri" w:cs="Calibri"/>
          <w:color w:val="000000"/>
        </w:rPr>
        <w:t xml:space="preserve"> retained by the Committee</w:t>
      </w:r>
      <w:r w:rsidRPr="00F74925">
        <w:rPr>
          <w:rFonts w:ascii="Calibri" w:eastAsia="Times New Roman" w:hAnsi="Calibri" w:cs="Calibri"/>
          <w:color w:val="000000"/>
        </w:rPr>
        <w:t xml:space="preserve">, and will be directly responsible for the appointment, termination, </w:t>
      </w:r>
      <w:proofErr w:type="gramStart"/>
      <w:r w:rsidRPr="00F74925">
        <w:rPr>
          <w:rFonts w:ascii="Calibri" w:eastAsia="Times New Roman" w:hAnsi="Calibri" w:cs="Calibri"/>
          <w:color w:val="000000"/>
        </w:rPr>
        <w:t>compensation</w:t>
      </w:r>
      <w:proofErr w:type="gramEnd"/>
      <w:r w:rsidRPr="00F74925">
        <w:rPr>
          <w:rFonts w:ascii="Calibri" w:eastAsia="Times New Roman" w:hAnsi="Calibri" w:cs="Calibri"/>
          <w:color w:val="000000"/>
        </w:rPr>
        <w:t xml:space="preserve"> and oversight of the work of any consultants and advisors retained </w:t>
      </w:r>
      <w:r w:rsidRPr="00F74925">
        <w:rPr>
          <w:rFonts w:ascii="Calibri" w:eastAsia="Times New Roman" w:hAnsi="Calibri" w:cs="Calibri"/>
          <w:color w:val="000000"/>
        </w:rPr>
        <w:lastRenderedPageBreak/>
        <w:t xml:space="preserve">by the Committee.  The Committee will assess the independence of any consultants or advisors prior to </w:t>
      </w:r>
      <w:r w:rsidR="00481CCB" w:rsidRPr="00F74925">
        <w:rPr>
          <w:rFonts w:ascii="Calibri" w:eastAsia="Times New Roman" w:hAnsi="Calibri" w:cs="Calibri"/>
          <w:color w:val="000000"/>
        </w:rPr>
        <w:t xml:space="preserve">selecting or </w:t>
      </w:r>
      <w:r w:rsidRPr="00F74925">
        <w:rPr>
          <w:rFonts w:ascii="Calibri" w:eastAsia="Times New Roman" w:hAnsi="Calibri" w:cs="Calibri"/>
          <w:color w:val="000000"/>
        </w:rPr>
        <w:t>receiving advice from them</w:t>
      </w:r>
      <w:r w:rsidR="00E17FD5" w:rsidRPr="00F74925">
        <w:rPr>
          <w:rFonts w:ascii="Calibri" w:eastAsia="Times New Roman" w:hAnsi="Calibri" w:cs="Calibri"/>
          <w:color w:val="000000"/>
        </w:rPr>
        <w:t>, in accordance with NYSE listing standards</w:t>
      </w:r>
      <w:r w:rsidRPr="00F74925">
        <w:rPr>
          <w:rFonts w:ascii="Calibri" w:eastAsia="Times New Roman" w:hAnsi="Calibri" w:cs="Calibri"/>
          <w:color w:val="000000"/>
        </w:rPr>
        <w:t xml:space="preserve">. </w:t>
      </w:r>
    </w:p>
    <w:p w14:paraId="0F26D03D" w14:textId="7DA47E0E" w:rsidR="00F67C42" w:rsidRPr="00F74925" w:rsidRDefault="00EA7A2B" w:rsidP="00087776">
      <w:pPr>
        <w:shd w:val="clear" w:color="auto" w:fill="FFFFFF"/>
        <w:rPr>
          <w:rFonts w:ascii="Calibri" w:eastAsia="Times New Roman" w:hAnsi="Calibri" w:cs="Calibri"/>
          <w:color w:val="000000"/>
        </w:rPr>
      </w:pPr>
      <w:r w:rsidRPr="00F74925">
        <w:rPr>
          <w:rFonts w:ascii="Calibri" w:eastAsia="Times New Roman" w:hAnsi="Calibri" w:cs="Calibri"/>
          <w:b/>
          <w:bCs/>
          <w:color w:val="000000"/>
        </w:rPr>
        <w:t>V</w:t>
      </w:r>
      <w:r w:rsidR="005D717C" w:rsidRPr="00F74925">
        <w:rPr>
          <w:rFonts w:ascii="Calibri" w:eastAsia="Times New Roman" w:hAnsi="Calibri" w:cs="Calibri"/>
          <w:b/>
          <w:bCs/>
          <w:color w:val="000000"/>
        </w:rPr>
        <w:t>I</w:t>
      </w:r>
      <w:r w:rsidRPr="00F74925">
        <w:rPr>
          <w:rFonts w:ascii="Calibri" w:eastAsia="Times New Roman" w:hAnsi="Calibri" w:cs="Calibri"/>
          <w:b/>
          <w:bCs/>
          <w:color w:val="000000"/>
        </w:rPr>
        <w:t xml:space="preserve">. </w:t>
      </w:r>
      <w:r w:rsidRPr="00F74925">
        <w:rPr>
          <w:rFonts w:ascii="Calibri" w:eastAsia="Times New Roman" w:hAnsi="Calibri" w:cs="Calibri"/>
          <w:b/>
          <w:bCs/>
          <w:color w:val="000000"/>
          <w:u w:val="single"/>
        </w:rPr>
        <w:t>Responsibilities of the Committee</w:t>
      </w:r>
    </w:p>
    <w:p w14:paraId="5F0F7AAB" w14:textId="77777777" w:rsidR="00F67C42" w:rsidRPr="00F74925" w:rsidRDefault="00EA7A2B">
      <w:pPr>
        <w:shd w:val="clear" w:color="auto" w:fill="FFFFFF"/>
        <w:spacing w:before="100" w:beforeAutospacing="1" w:after="100" w:afterAutospacing="1" w:line="312" w:lineRule="atLeast"/>
        <w:rPr>
          <w:rFonts w:ascii="Calibri" w:eastAsia="Times New Roman" w:hAnsi="Calibri" w:cs="Calibri"/>
          <w:color w:val="000000"/>
        </w:rPr>
      </w:pPr>
      <w:r w:rsidRPr="00F74925">
        <w:rPr>
          <w:rFonts w:ascii="Calibri" w:eastAsia="Times New Roman" w:hAnsi="Calibri" w:cs="Calibri"/>
          <w:color w:val="000000"/>
        </w:rPr>
        <w:t>Among its specific duties and responsibilities, the Committee will:</w:t>
      </w:r>
    </w:p>
    <w:p w14:paraId="6FE1C909" w14:textId="77777777" w:rsidR="00F67C42" w:rsidRPr="00F74925" w:rsidRDefault="00EA7A2B">
      <w:pPr>
        <w:numPr>
          <w:ilvl w:val="0"/>
          <w:numId w:val="34"/>
        </w:numPr>
        <w:shd w:val="clear" w:color="auto" w:fill="FFFFFF"/>
        <w:spacing w:before="100" w:beforeAutospacing="1" w:after="240"/>
        <w:ind w:left="736"/>
        <w:rPr>
          <w:rFonts w:ascii="Calibri" w:eastAsia="Times New Roman" w:hAnsi="Calibri" w:cs="Calibri"/>
          <w:color w:val="000000"/>
        </w:rPr>
      </w:pPr>
      <w:r w:rsidRPr="00F74925">
        <w:rPr>
          <w:rFonts w:ascii="Calibri" w:eastAsia="Times New Roman" w:hAnsi="Calibri" w:cs="Calibri"/>
          <w:color w:val="000000"/>
        </w:rPr>
        <w:t xml:space="preserve">Oversee the Company’s officer compensation structure, </w:t>
      </w:r>
      <w:proofErr w:type="gramStart"/>
      <w:r w:rsidRPr="00F74925">
        <w:rPr>
          <w:rFonts w:ascii="Calibri" w:eastAsia="Times New Roman" w:hAnsi="Calibri" w:cs="Calibri"/>
          <w:color w:val="000000"/>
        </w:rPr>
        <w:t>policies</w:t>
      </w:r>
      <w:proofErr w:type="gramEnd"/>
      <w:r w:rsidRPr="00F74925">
        <w:rPr>
          <w:rFonts w:ascii="Calibri" w:eastAsia="Times New Roman" w:hAnsi="Calibri" w:cs="Calibri"/>
          <w:color w:val="000000"/>
        </w:rPr>
        <w:t xml:space="preserve"> and programs, assess whether the Company’s compensation structure establishes appropriate incentives for officers, and assess the results of the Company's most recent advisory vote on executive compensation.</w:t>
      </w:r>
    </w:p>
    <w:p w14:paraId="43EA5315" w14:textId="070E119B" w:rsidR="00F67C42" w:rsidRPr="003A1480" w:rsidRDefault="00EA7A2B">
      <w:pPr>
        <w:numPr>
          <w:ilvl w:val="0"/>
          <w:numId w:val="34"/>
        </w:numPr>
        <w:shd w:val="clear" w:color="auto" w:fill="FFFFFF"/>
        <w:spacing w:before="100" w:beforeAutospacing="1" w:after="240"/>
        <w:ind w:left="736"/>
        <w:rPr>
          <w:rFonts w:ascii="Calibri" w:eastAsia="Times New Roman" w:hAnsi="Calibri" w:cs="Calibri"/>
          <w:color w:val="000000"/>
        </w:rPr>
      </w:pPr>
      <w:r w:rsidRPr="00F74925">
        <w:rPr>
          <w:rFonts w:ascii="Calibri" w:eastAsia="Times New Roman" w:hAnsi="Calibri" w:cs="Calibri"/>
          <w:color w:val="000000"/>
        </w:rPr>
        <w:t xml:space="preserve">Administer and make recommendations to the Board with respect to the Company’s equity-based compensation plans and any incentive-compensation </w:t>
      </w:r>
      <w:r w:rsidRPr="003A1480">
        <w:rPr>
          <w:rFonts w:ascii="Calibri" w:eastAsia="Times New Roman" w:hAnsi="Calibri" w:cs="Calibri"/>
          <w:color w:val="000000"/>
        </w:rPr>
        <w:t>plans</w:t>
      </w:r>
      <w:r w:rsidR="00485B4A" w:rsidRPr="003A1480">
        <w:rPr>
          <w:rFonts w:ascii="Calibri" w:eastAsia="Times New Roman" w:hAnsi="Calibri" w:cs="Calibri"/>
          <w:color w:val="000000"/>
        </w:rPr>
        <w:t xml:space="preserve"> and severance plans in which officers participate</w:t>
      </w:r>
      <w:r w:rsidRPr="003A1480">
        <w:rPr>
          <w:rFonts w:ascii="Calibri" w:eastAsia="Times New Roman" w:hAnsi="Calibri" w:cs="Calibri"/>
          <w:color w:val="000000"/>
        </w:rPr>
        <w:t>.</w:t>
      </w:r>
    </w:p>
    <w:p w14:paraId="0F822D5D" w14:textId="77777777" w:rsidR="00024D78" w:rsidRPr="00F74925" w:rsidRDefault="00024D78">
      <w:pPr>
        <w:numPr>
          <w:ilvl w:val="0"/>
          <w:numId w:val="34"/>
        </w:numPr>
        <w:shd w:val="clear" w:color="auto" w:fill="FFFFFF"/>
        <w:spacing w:before="100" w:beforeAutospacing="1" w:after="240"/>
        <w:ind w:left="736"/>
        <w:rPr>
          <w:rFonts w:ascii="Calibri" w:eastAsia="Times New Roman" w:hAnsi="Calibri" w:cs="Calibri"/>
          <w:color w:val="000000"/>
        </w:rPr>
      </w:pPr>
      <w:r w:rsidRPr="00F74925">
        <w:rPr>
          <w:rFonts w:ascii="Calibri" w:eastAsia="Times New Roman" w:hAnsi="Calibri" w:cs="Calibri"/>
          <w:color w:val="000000"/>
        </w:rPr>
        <w:t>Oversee</w:t>
      </w:r>
      <w:r w:rsidR="00555E1D" w:rsidRPr="00F74925">
        <w:rPr>
          <w:rFonts w:ascii="Calibri" w:eastAsia="Times New Roman" w:hAnsi="Calibri" w:cs="Calibri"/>
          <w:color w:val="000000"/>
        </w:rPr>
        <w:t xml:space="preserve"> the administration of</w:t>
      </w:r>
      <w:r w:rsidR="00812056" w:rsidRPr="00F74925">
        <w:rPr>
          <w:rFonts w:ascii="Calibri" w:eastAsia="Times New Roman" w:hAnsi="Calibri" w:cs="Calibri"/>
          <w:color w:val="000000"/>
        </w:rPr>
        <w:t xml:space="preserve"> </w:t>
      </w:r>
      <w:r w:rsidR="00555E1D" w:rsidRPr="00F74925">
        <w:rPr>
          <w:rFonts w:ascii="Calibri" w:eastAsia="Times New Roman" w:hAnsi="Calibri" w:cs="Calibri"/>
          <w:color w:val="000000"/>
        </w:rPr>
        <w:t>and make recommendatio</w:t>
      </w:r>
      <w:r w:rsidR="009E1944" w:rsidRPr="00F74925">
        <w:rPr>
          <w:rFonts w:ascii="Calibri" w:eastAsia="Times New Roman" w:hAnsi="Calibri" w:cs="Calibri"/>
          <w:color w:val="000000"/>
        </w:rPr>
        <w:t>ns to the Board with respect to</w:t>
      </w:r>
      <w:r w:rsidRPr="00F74925">
        <w:rPr>
          <w:rFonts w:ascii="Calibri" w:eastAsia="Times New Roman" w:hAnsi="Calibri" w:cs="Calibri"/>
          <w:color w:val="000000"/>
        </w:rPr>
        <w:t xml:space="preserve"> the Company’s Employee Stock Purchase Plan</w:t>
      </w:r>
      <w:r w:rsidR="00555E1D" w:rsidRPr="00F74925">
        <w:rPr>
          <w:rFonts w:ascii="Calibri" w:eastAsia="Times New Roman" w:hAnsi="Calibri" w:cs="Calibri"/>
          <w:color w:val="000000"/>
        </w:rPr>
        <w:t>.</w:t>
      </w:r>
    </w:p>
    <w:p w14:paraId="10130F5F" w14:textId="77777777" w:rsidR="00F67C42" w:rsidRPr="00F74925" w:rsidRDefault="00EA7A2B">
      <w:pPr>
        <w:numPr>
          <w:ilvl w:val="0"/>
          <w:numId w:val="34"/>
        </w:numPr>
        <w:shd w:val="clear" w:color="auto" w:fill="FFFFFF"/>
        <w:spacing w:before="100" w:beforeAutospacing="1" w:after="240"/>
        <w:ind w:left="736"/>
        <w:rPr>
          <w:rFonts w:ascii="Calibri" w:eastAsia="Times New Roman" w:hAnsi="Calibri" w:cs="Calibri"/>
          <w:color w:val="000000"/>
        </w:rPr>
      </w:pPr>
      <w:r w:rsidRPr="00F74925">
        <w:rPr>
          <w:rFonts w:ascii="Calibri" w:eastAsia="Times New Roman" w:hAnsi="Calibri" w:cs="Calibri"/>
          <w:color w:val="000000"/>
        </w:rPr>
        <w:t xml:space="preserve">Review and approve goals and objectives relevant to the compensation of the CEO, evaluate the CEO’s performance in light of those goals and objectives, </w:t>
      </w:r>
      <w:proofErr w:type="gramStart"/>
      <w:r w:rsidRPr="00F74925">
        <w:rPr>
          <w:rFonts w:ascii="Calibri" w:eastAsia="Times New Roman" w:hAnsi="Calibri" w:cs="Calibri"/>
          <w:color w:val="000000"/>
        </w:rPr>
        <w:t>and,</w:t>
      </w:r>
      <w:proofErr w:type="gramEnd"/>
      <w:r w:rsidRPr="00F74925">
        <w:rPr>
          <w:rFonts w:ascii="Calibri" w:eastAsia="Times New Roman" w:hAnsi="Calibri" w:cs="Calibri"/>
          <w:color w:val="000000"/>
        </w:rPr>
        <w:t xml:space="preserve"> based on this evaluation, recommend the CEO’s compensation level to the independent directors for approval. </w:t>
      </w:r>
    </w:p>
    <w:p w14:paraId="46416709" w14:textId="7A43F5EC" w:rsidR="00F67C42" w:rsidRPr="00F74925" w:rsidRDefault="00EA7A2B">
      <w:pPr>
        <w:numPr>
          <w:ilvl w:val="0"/>
          <w:numId w:val="34"/>
        </w:numPr>
        <w:shd w:val="clear" w:color="auto" w:fill="FFFFFF"/>
        <w:spacing w:before="100" w:beforeAutospacing="1" w:after="240"/>
        <w:ind w:left="736"/>
        <w:rPr>
          <w:rFonts w:ascii="Calibri" w:eastAsia="Times New Roman" w:hAnsi="Calibri" w:cs="Calibri"/>
          <w:color w:val="000000"/>
        </w:rPr>
      </w:pPr>
      <w:r w:rsidRPr="00F74925">
        <w:rPr>
          <w:rFonts w:ascii="Calibri" w:eastAsia="Times New Roman" w:hAnsi="Calibri" w:cs="Calibri"/>
          <w:color w:val="000000"/>
        </w:rPr>
        <w:t xml:space="preserve">Oversee the evaluation and recommend </w:t>
      </w:r>
      <w:proofErr w:type="gramStart"/>
      <w:r w:rsidRPr="00F74925">
        <w:rPr>
          <w:rFonts w:ascii="Calibri" w:eastAsia="Times New Roman" w:hAnsi="Calibri" w:cs="Calibri"/>
          <w:color w:val="000000"/>
        </w:rPr>
        <w:t>the compensation</w:t>
      </w:r>
      <w:proofErr w:type="gramEnd"/>
      <w:r w:rsidRPr="00F74925">
        <w:rPr>
          <w:rFonts w:ascii="Calibri" w:eastAsia="Times New Roman" w:hAnsi="Calibri" w:cs="Calibri"/>
          <w:color w:val="000000"/>
        </w:rPr>
        <w:t xml:space="preserve"> of executive officers other than the CEO to the Board.</w:t>
      </w:r>
    </w:p>
    <w:p w14:paraId="561A8E99" w14:textId="59FD9E6D" w:rsidR="00F67C42" w:rsidRPr="00F74925" w:rsidRDefault="00EA7A2B">
      <w:pPr>
        <w:numPr>
          <w:ilvl w:val="0"/>
          <w:numId w:val="34"/>
        </w:numPr>
        <w:shd w:val="clear" w:color="auto" w:fill="FFFFFF"/>
        <w:spacing w:before="100" w:beforeAutospacing="1" w:after="240"/>
        <w:ind w:left="736"/>
        <w:rPr>
          <w:rFonts w:ascii="Calibri" w:eastAsia="Times New Roman" w:hAnsi="Calibri" w:cs="Calibri"/>
          <w:color w:val="000000"/>
        </w:rPr>
      </w:pPr>
      <w:r w:rsidRPr="00F74925">
        <w:rPr>
          <w:rFonts w:ascii="Calibri" w:eastAsia="Times New Roman" w:hAnsi="Calibri" w:cs="Calibri"/>
          <w:color w:val="000000"/>
        </w:rPr>
        <w:t>Review and discuss with management the Company’s Compensation Discussion and Analysis and related disclosures that Securities and Exchange Commission (“SEC”) rules require be included in the Company’s annual report and proxy statement, recommend to the Board based on the review and discussions whether the Compensation Discussion and Analysis should be included in the annual report and proxy statement, and prepare the compensation committee report that SEC rules require be included in the annual report and proxy statement. </w:t>
      </w:r>
    </w:p>
    <w:p w14:paraId="71B396B5" w14:textId="11E6F67D" w:rsidR="00DB6F85" w:rsidRPr="00F74925" w:rsidRDefault="00DB6F85">
      <w:pPr>
        <w:numPr>
          <w:ilvl w:val="0"/>
          <w:numId w:val="34"/>
        </w:numPr>
        <w:shd w:val="clear" w:color="auto" w:fill="FFFFFF"/>
        <w:spacing w:before="100" w:beforeAutospacing="1" w:after="240"/>
        <w:ind w:left="736"/>
        <w:rPr>
          <w:rFonts w:ascii="Calibri" w:eastAsia="Times New Roman" w:hAnsi="Calibri" w:cs="Calibri"/>
          <w:color w:val="000000"/>
        </w:rPr>
      </w:pPr>
      <w:r w:rsidRPr="00F74925">
        <w:rPr>
          <w:rFonts w:ascii="Calibri" w:eastAsia="Times New Roman" w:hAnsi="Calibri" w:cs="Calibri"/>
          <w:color w:val="000000"/>
        </w:rPr>
        <w:t xml:space="preserve">Oversee the administration of the Company’s </w:t>
      </w:r>
      <w:proofErr w:type="spellStart"/>
      <w:r w:rsidRPr="00F74925">
        <w:rPr>
          <w:rFonts w:ascii="Calibri" w:eastAsia="Times New Roman" w:hAnsi="Calibri" w:cs="Calibri"/>
          <w:color w:val="000000"/>
        </w:rPr>
        <w:t>clawback</w:t>
      </w:r>
      <w:proofErr w:type="spellEnd"/>
      <w:r w:rsidRPr="00F74925">
        <w:rPr>
          <w:rFonts w:ascii="Calibri" w:eastAsia="Times New Roman" w:hAnsi="Calibri" w:cs="Calibri"/>
          <w:color w:val="000000"/>
        </w:rPr>
        <w:t xml:space="preserve"> policy. </w:t>
      </w:r>
    </w:p>
    <w:p w14:paraId="61663BA7" w14:textId="4A299457" w:rsidR="00AB7690" w:rsidRPr="00F74925" w:rsidRDefault="00485B4A">
      <w:pPr>
        <w:numPr>
          <w:ilvl w:val="0"/>
          <w:numId w:val="34"/>
        </w:numPr>
        <w:shd w:val="clear" w:color="auto" w:fill="FFFFFF"/>
        <w:spacing w:before="100" w:beforeAutospacing="1" w:after="240"/>
        <w:ind w:left="736"/>
        <w:rPr>
          <w:rFonts w:ascii="Calibri" w:eastAsia="Times New Roman" w:hAnsi="Calibri" w:cs="Calibri"/>
          <w:color w:val="000000"/>
        </w:rPr>
      </w:pPr>
      <w:r w:rsidRPr="00F74925">
        <w:rPr>
          <w:rFonts w:ascii="Calibri" w:eastAsia="Times New Roman" w:hAnsi="Calibri" w:cs="Calibri"/>
          <w:color w:val="000000"/>
        </w:rPr>
        <w:t>Monitor</w:t>
      </w:r>
      <w:r w:rsidR="00AB7690" w:rsidRPr="00F74925">
        <w:rPr>
          <w:rFonts w:ascii="Calibri" w:eastAsia="Times New Roman" w:hAnsi="Calibri" w:cs="Calibri"/>
          <w:color w:val="000000"/>
        </w:rPr>
        <w:t xml:space="preserve"> compliance by executive officers with the Company’s stock ownership guidelines.</w:t>
      </w:r>
    </w:p>
    <w:p w14:paraId="53DD649D" w14:textId="77777777" w:rsidR="00E17FD5" w:rsidRPr="00F74925" w:rsidRDefault="00E17FD5" w:rsidP="00E17FD5">
      <w:pPr>
        <w:numPr>
          <w:ilvl w:val="0"/>
          <w:numId w:val="34"/>
        </w:numPr>
        <w:shd w:val="clear" w:color="auto" w:fill="FFFFFF"/>
        <w:spacing w:before="100" w:beforeAutospacing="1" w:after="240"/>
        <w:rPr>
          <w:rFonts w:ascii="Calibri" w:eastAsia="Times New Roman" w:hAnsi="Calibri" w:cs="Calibri"/>
          <w:color w:val="000000"/>
        </w:rPr>
      </w:pPr>
      <w:r w:rsidRPr="00F74925">
        <w:rPr>
          <w:rFonts w:ascii="Calibri" w:eastAsia="Times New Roman" w:hAnsi="Calibri" w:cs="Calibri"/>
          <w:color w:val="000000"/>
        </w:rPr>
        <w:t>At least annually, assess whether the work of compensation consultants involved in determining or recommending executive or director compensation has raised any conflict of interest that is required to be disclosed in the annual report and proxy statement.</w:t>
      </w:r>
    </w:p>
    <w:p w14:paraId="6F69BD7D" w14:textId="77777777" w:rsidR="00F67C42" w:rsidRPr="00F74925" w:rsidRDefault="00EA7A2B">
      <w:pPr>
        <w:numPr>
          <w:ilvl w:val="0"/>
          <w:numId w:val="34"/>
        </w:numPr>
        <w:shd w:val="clear" w:color="auto" w:fill="FFFFFF"/>
        <w:spacing w:before="100" w:beforeAutospacing="1" w:after="240"/>
        <w:ind w:left="736"/>
        <w:rPr>
          <w:rFonts w:ascii="Calibri" w:eastAsia="Times New Roman" w:hAnsi="Calibri" w:cs="Calibri"/>
          <w:color w:val="000000"/>
        </w:rPr>
      </w:pPr>
      <w:r w:rsidRPr="00F74925">
        <w:rPr>
          <w:rFonts w:ascii="Calibri" w:eastAsia="Times New Roman" w:hAnsi="Calibri" w:cs="Calibri"/>
          <w:color w:val="000000"/>
        </w:rPr>
        <w:lastRenderedPageBreak/>
        <w:t>Review the organizational structure for the Company’s senior management.</w:t>
      </w:r>
    </w:p>
    <w:p w14:paraId="4697582D" w14:textId="77777777" w:rsidR="00F67C42" w:rsidRPr="00F74925" w:rsidRDefault="00EA7A2B">
      <w:pPr>
        <w:numPr>
          <w:ilvl w:val="0"/>
          <w:numId w:val="34"/>
        </w:numPr>
        <w:shd w:val="clear" w:color="auto" w:fill="FFFFFF"/>
        <w:spacing w:before="100" w:beforeAutospacing="1" w:after="240"/>
        <w:ind w:left="736"/>
        <w:rPr>
          <w:rFonts w:ascii="Calibri" w:eastAsia="Times New Roman" w:hAnsi="Calibri" w:cs="Calibri"/>
          <w:color w:val="000000"/>
        </w:rPr>
      </w:pPr>
      <w:r w:rsidRPr="00F74925">
        <w:rPr>
          <w:rFonts w:ascii="Calibri" w:eastAsia="Times New Roman" w:hAnsi="Calibri" w:cs="Calibri"/>
          <w:color w:val="000000"/>
        </w:rPr>
        <w:t xml:space="preserve">Oversee a periodic assessment of the risks related to the Company’s compensation policies and practices applicable to officers and </w:t>
      </w:r>
      <w:proofErr w:type="gramStart"/>
      <w:r w:rsidRPr="00F74925">
        <w:rPr>
          <w:rFonts w:ascii="Calibri" w:eastAsia="Times New Roman" w:hAnsi="Calibri" w:cs="Calibri"/>
          <w:color w:val="000000"/>
        </w:rPr>
        <w:t>employees, and</w:t>
      </w:r>
      <w:proofErr w:type="gramEnd"/>
      <w:r w:rsidRPr="00F74925">
        <w:rPr>
          <w:rFonts w:ascii="Calibri" w:eastAsia="Times New Roman" w:hAnsi="Calibri" w:cs="Calibri"/>
          <w:color w:val="000000"/>
        </w:rPr>
        <w:t xml:space="preserve"> </w:t>
      </w:r>
      <w:r w:rsidR="001D3DB4" w:rsidRPr="00F74925">
        <w:rPr>
          <w:rFonts w:ascii="Calibri" w:eastAsia="Times New Roman" w:hAnsi="Calibri" w:cs="Calibri"/>
          <w:color w:val="000000"/>
        </w:rPr>
        <w:t xml:space="preserve">review </w:t>
      </w:r>
      <w:r w:rsidRPr="00F74925">
        <w:rPr>
          <w:rFonts w:ascii="Calibri" w:eastAsia="Times New Roman" w:hAnsi="Calibri" w:cs="Calibri"/>
          <w:color w:val="000000"/>
        </w:rPr>
        <w:t>the results of this assessment.</w:t>
      </w:r>
    </w:p>
    <w:p w14:paraId="371E8240" w14:textId="77777777" w:rsidR="00F67C42" w:rsidRPr="00F74925" w:rsidRDefault="00EA7A2B">
      <w:pPr>
        <w:numPr>
          <w:ilvl w:val="0"/>
          <w:numId w:val="34"/>
        </w:numPr>
        <w:shd w:val="clear" w:color="auto" w:fill="FFFFFF"/>
        <w:spacing w:before="100" w:beforeAutospacing="1" w:after="240"/>
        <w:ind w:left="736"/>
        <w:rPr>
          <w:rFonts w:ascii="Calibri" w:eastAsia="Times New Roman" w:hAnsi="Calibri" w:cs="Calibri"/>
          <w:color w:val="000000"/>
        </w:rPr>
      </w:pPr>
      <w:r w:rsidRPr="00F74925">
        <w:rPr>
          <w:rFonts w:ascii="Calibri" w:eastAsia="Times New Roman" w:hAnsi="Calibri" w:cs="Calibri"/>
          <w:color w:val="000000"/>
        </w:rPr>
        <w:t xml:space="preserve">Review succession plans relating to positions held by executive </w:t>
      </w:r>
      <w:proofErr w:type="gramStart"/>
      <w:r w:rsidRPr="00F74925">
        <w:rPr>
          <w:rFonts w:ascii="Calibri" w:eastAsia="Times New Roman" w:hAnsi="Calibri" w:cs="Calibri"/>
          <w:color w:val="000000"/>
        </w:rPr>
        <w:t>officers, and</w:t>
      </w:r>
      <w:proofErr w:type="gramEnd"/>
      <w:r w:rsidRPr="00F74925">
        <w:rPr>
          <w:rFonts w:ascii="Calibri" w:eastAsia="Times New Roman" w:hAnsi="Calibri" w:cs="Calibri"/>
          <w:color w:val="000000"/>
        </w:rPr>
        <w:t xml:space="preserve"> make recommendations to the Board regarding a succession plan for the position of CEO. </w:t>
      </w:r>
    </w:p>
    <w:p w14:paraId="2877AB2A" w14:textId="77777777" w:rsidR="00F67C42" w:rsidRPr="00F74925" w:rsidRDefault="00EA7A2B">
      <w:pPr>
        <w:numPr>
          <w:ilvl w:val="0"/>
          <w:numId w:val="34"/>
        </w:numPr>
        <w:shd w:val="clear" w:color="auto" w:fill="FFFFFF"/>
        <w:spacing w:before="100" w:beforeAutospacing="1" w:after="240"/>
        <w:ind w:left="736"/>
        <w:rPr>
          <w:rFonts w:ascii="Calibri" w:eastAsia="Times New Roman" w:hAnsi="Calibri" w:cs="Calibri"/>
          <w:color w:val="000000"/>
        </w:rPr>
      </w:pPr>
      <w:r w:rsidRPr="00F74925">
        <w:rPr>
          <w:rFonts w:ascii="Calibri" w:eastAsia="Times New Roman" w:hAnsi="Calibri" w:cs="Calibri"/>
          <w:color w:val="000000"/>
        </w:rPr>
        <w:t>Consider and recommend to the Board, in consultation with the Nominating/Corporate Governance Committee, the frequency of the Company’s advisory vote on executive compensation.</w:t>
      </w:r>
    </w:p>
    <w:p w14:paraId="11EE42E7" w14:textId="77777777" w:rsidR="00F67C42" w:rsidRPr="00F74925" w:rsidRDefault="00EA7A2B">
      <w:pPr>
        <w:numPr>
          <w:ilvl w:val="0"/>
          <w:numId w:val="34"/>
        </w:numPr>
        <w:shd w:val="clear" w:color="auto" w:fill="FFFFFF"/>
        <w:spacing w:before="100" w:beforeAutospacing="1" w:after="240"/>
        <w:ind w:left="736"/>
        <w:rPr>
          <w:rFonts w:ascii="Calibri" w:eastAsia="Times New Roman" w:hAnsi="Calibri" w:cs="Calibri"/>
          <w:color w:val="000000"/>
        </w:rPr>
      </w:pPr>
      <w:r w:rsidRPr="00F74925">
        <w:rPr>
          <w:rFonts w:ascii="Calibri" w:hAnsi="Calibri" w:cs="Calibri"/>
        </w:rPr>
        <w:t xml:space="preserve">Oversee the Company’s engagement efforts with shareholders </w:t>
      </w:r>
      <w:proofErr w:type="gramStart"/>
      <w:r w:rsidRPr="00F74925">
        <w:rPr>
          <w:rFonts w:ascii="Calibri" w:hAnsi="Calibri" w:cs="Calibri"/>
        </w:rPr>
        <w:t>on the subject of executive</w:t>
      </w:r>
      <w:proofErr w:type="gramEnd"/>
      <w:r w:rsidRPr="00F74925">
        <w:rPr>
          <w:rFonts w:ascii="Calibri" w:hAnsi="Calibri" w:cs="Calibri"/>
        </w:rPr>
        <w:t xml:space="preserve"> compensation</w:t>
      </w:r>
      <w:r w:rsidR="00555E1D" w:rsidRPr="00F74925">
        <w:rPr>
          <w:rFonts w:ascii="Calibri" w:hAnsi="Calibri" w:cs="Calibri"/>
        </w:rPr>
        <w:t>.</w:t>
      </w:r>
    </w:p>
    <w:p w14:paraId="7C8946D2" w14:textId="6DE60D41" w:rsidR="009046B9" w:rsidRPr="00F74925" w:rsidRDefault="009046B9">
      <w:pPr>
        <w:numPr>
          <w:ilvl w:val="0"/>
          <w:numId w:val="34"/>
        </w:numPr>
        <w:shd w:val="clear" w:color="auto" w:fill="FFFFFF"/>
        <w:spacing w:before="100" w:beforeAutospacing="1" w:after="240"/>
        <w:ind w:left="736"/>
        <w:rPr>
          <w:rFonts w:ascii="Calibri" w:eastAsia="Times New Roman" w:hAnsi="Calibri" w:cs="Calibri"/>
          <w:color w:val="000000"/>
        </w:rPr>
      </w:pPr>
      <w:r w:rsidRPr="00F74925">
        <w:rPr>
          <w:rFonts w:ascii="Calibri" w:eastAsia="Times New Roman" w:hAnsi="Calibri" w:cs="Calibri"/>
          <w:color w:val="000000"/>
        </w:rPr>
        <w:t xml:space="preserve">Oversee the Company’s </w:t>
      </w:r>
      <w:r w:rsidRPr="00632B70">
        <w:rPr>
          <w:rFonts w:ascii="Calibri" w:eastAsia="Times New Roman" w:hAnsi="Calibri" w:cs="Calibri"/>
          <w:color w:val="000000"/>
        </w:rPr>
        <w:t>strategies</w:t>
      </w:r>
      <w:r w:rsidR="000A2620" w:rsidRPr="00632B70">
        <w:rPr>
          <w:rFonts w:ascii="Calibri" w:eastAsia="Times New Roman" w:hAnsi="Calibri" w:cs="Calibri"/>
          <w:color w:val="000000"/>
        </w:rPr>
        <w:t>,</w:t>
      </w:r>
      <w:r w:rsidRPr="00632B70">
        <w:rPr>
          <w:rFonts w:ascii="Calibri" w:eastAsia="Times New Roman" w:hAnsi="Calibri" w:cs="Calibri"/>
          <w:color w:val="000000"/>
        </w:rPr>
        <w:t xml:space="preserve"> policies</w:t>
      </w:r>
      <w:r w:rsidR="00632B70" w:rsidRPr="00632B70">
        <w:rPr>
          <w:rFonts w:ascii="Calibri" w:eastAsia="Times New Roman" w:hAnsi="Calibri" w:cs="Calibri"/>
          <w:color w:val="000000"/>
        </w:rPr>
        <w:t xml:space="preserve">, </w:t>
      </w:r>
      <w:r w:rsidR="000A2620" w:rsidRPr="00632B70">
        <w:rPr>
          <w:rFonts w:ascii="Calibri" w:eastAsia="Times New Roman" w:hAnsi="Calibri" w:cs="Calibri"/>
          <w:color w:val="000000"/>
        </w:rPr>
        <w:t xml:space="preserve">and risk </w:t>
      </w:r>
      <w:r w:rsidRPr="00632B70">
        <w:rPr>
          <w:rFonts w:ascii="Calibri" w:eastAsia="Times New Roman" w:hAnsi="Calibri" w:cs="Calibri"/>
          <w:color w:val="000000"/>
        </w:rPr>
        <w:t>related to</w:t>
      </w:r>
      <w:r w:rsidRPr="00F74925">
        <w:rPr>
          <w:rFonts w:ascii="Calibri" w:eastAsia="Times New Roman" w:hAnsi="Calibri" w:cs="Calibri"/>
          <w:color w:val="000000"/>
        </w:rPr>
        <w:t xml:space="preserve"> human capital management, including with respect to matters such as diversity and inclusion, workplace environment and culture, talent development and retention</w:t>
      </w:r>
      <w:r w:rsidR="00A12BB9" w:rsidRPr="00F74925">
        <w:rPr>
          <w:rFonts w:ascii="Calibri" w:eastAsia="Times New Roman" w:hAnsi="Calibri" w:cs="Calibri"/>
          <w:color w:val="000000"/>
        </w:rPr>
        <w:t>, and succession planning</w:t>
      </w:r>
      <w:r w:rsidRPr="00F74925">
        <w:rPr>
          <w:rFonts w:ascii="Calibri" w:eastAsia="Times New Roman" w:hAnsi="Calibri" w:cs="Calibri"/>
          <w:color w:val="000000"/>
        </w:rPr>
        <w:t>.</w:t>
      </w:r>
    </w:p>
    <w:p w14:paraId="396EDB41" w14:textId="2A84CC7C" w:rsidR="00F67C42" w:rsidRPr="00F74925" w:rsidRDefault="00EA7A2B" w:rsidP="00087776">
      <w:pPr>
        <w:shd w:val="clear" w:color="auto" w:fill="FFFFFF"/>
        <w:rPr>
          <w:rFonts w:ascii="Calibri" w:eastAsia="Times New Roman" w:hAnsi="Calibri" w:cs="Calibri"/>
          <w:color w:val="000000"/>
        </w:rPr>
      </w:pPr>
      <w:r w:rsidRPr="00F74925">
        <w:rPr>
          <w:rFonts w:ascii="Calibri" w:eastAsia="Times New Roman" w:hAnsi="Calibri" w:cs="Calibri"/>
          <w:b/>
          <w:bCs/>
          <w:color w:val="000000"/>
        </w:rPr>
        <w:t>V</w:t>
      </w:r>
      <w:r w:rsidR="005D717C" w:rsidRPr="00F74925">
        <w:rPr>
          <w:rFonts w:ascii="Calibri" w:eastAsia="Times New Roman" w:hAnsi="Calibri" w:cs="Calibri"/>
          <w:b/>
          <w:bCs/>
          <w:color w:val="000000"/>
        </w:rPr>
        <w:t>I</w:t>
      </w:r>
      <w:r w:rsidRPr="00F74925">
        <w:rPr>
          <w:rFonts w:ascii="Calibri" w:eastAsia="Times New Roman" w:hAnsi="Calibri" w:cs="Calibri"/>
          <w:b/>
          <w:bCs/>
          <w:color w:val="000000"/>
        </w:rPr>
        <w:t xml:space="preserve">I. </w:t>
      </w:r>
      <w:r w:rsidRPr="00F74925">
        <w:rPr>
          <w:rFonts w:ascii="Calibri" w:eastAsia="Times New Roman" w:hAnsi="Calibri" w:cs="Calibri"/>
          <w:b/>
          <w:bCs/>
          <w:color w:val="000000"/>
          <w:u w:val="single"/>
        </w:rPr>
        <w:t>Annual Performance Evaluation and Other Matters</w:t>
      </w:r>
    </w:p>
    <w:p w14:paraId="6CDE14EB" w14:textId="35EF1D78" w:rsidR="00F67C42" w:rsidRPr="00F74925" w:rsidRDefault="00EA7A2B">
      <w:pPr>
        <w:shd w:val="clear" w:color="auto" w:fill="FFFFFF"/>
        <w:spacing w:before="100" w:beforeAutospacing="1" w:after="100" w:afterAutospacing="1" w:line="312" w:lineRule="atLeast"/>
        <w:rPr>
          <w:rFonts w:ascii="Calibri" w:eastAsia="Times New Roman" w:hAnsi="Calibri" w:cs="Calibri"/>
          <w:color w:val="000000"/>
        </w:rPr>
      </w:pPr>
      <w:r w:rsidRPr="00F74925">
        <w:rPr>
          <w:rFonts w:ascii="Calibri" w:eastAsia="Times New Roman" w:hAnsi="Calibri" w:cs="Calibri"/>
          <w:color w:val="000000"/>
        </w:rPr>
        <w:t>The Committee will annually evaluate its performance and the adequacy of its charter and recommend changes to the Board as appropriate.</w:t>
      </w:r>
      <w:r w:rsidR="00E86D4E" w:rsidRPr="00F74925">
        <w:rPr>
          <w:rFonts w:ascii="Calibri" w:eastAsia="Times New Roman" w:hAnsi="Calibri" w:cs="Calibri"/>
          <w:color w:val="000000"/>
        </w:rPr>
        <w:t xml:space="preserve"> </w:t>
      </w:r>
    </w:p>
    <w:p w14:paraId="1ED56014" w14:textId="4339C0DB" w:rsidR="00F67C42" w:rsidRPr="00F74925" w:rsidRDefault="00135988" w:rsidP="000F008B">
      <w:pPr>
        <w:shd w:val="clear" w:color="auto" w:fill="FFFFFF"/>
        <w:spacing w:after="240"/>
        <w:rPr>
          <w:rFonts w:ascii="Calibri" w:hAnsi="Calibri" w:cs="Calibri"/>
        </w:rPr>
      </w:pPr>
      <w:r w:rsidRPr="00F74925">
        <w:rPr>
          <w:rFonts w:ascii="Calibri" w:eastAsia="Times New Roman" w:hAnsi="Calibri" w:cs="Calibri"/>
          <w:color w:val="000000"/>
        </w:rPr>
        <w:t xml:space="preserve">Board </w:t>
      </w:r>
      <w:r w:rsidR="002C73E2" w:rsidRPr="00F74925">
        <w:rPr>
          <w:rFonts w:ascii="Calibri" w:eastAsia="Times New Roman" w:hAnsi="Calibri" w:cs="Calibri"/>
          <w:color w:val="000000"/>
        </w:rPr>
        <w:t>approved</w:t>
      </w:r>
      <w:r w:rsidR="0039758D" w:rsidRPr="00F74925">
        <w:rPr>
          <w:rFonts w:ascii="Calibri" w:eastAsia="Times New Roman" w:hAnsi="Calibri" w:cs="Calibri"/>
          <w:color w:val="000000"/>
        </w:rPr>
        <w:t>:</w:t>
      </w:r>
      <w:r w:rsidR="00885EDB" w:rsidRPr="00F74925">
        <w:rPr>
          <w:rFonts w:ascii="Calibri" w:eastAsia="Times New Roman" w:hAnsi="Calibri" w:cs="Calibri"/>
          <w:color w:val="000000"/>
        </w:rPr>
        <w:t xml:space="preserve"> </w:t>
      </w:r>
      <w:r w:rsidR="0051154D" w:rsidRPr="00F74925">
        <w:rPr>
          <w:rFonts w:ascii="Calibri" w:eastAsia="Times New Roman" w:hAnsi="Calibri" w:cs="Calibri"/>
          <w:color w:val="000000"/>
        </w:rPr>
        <w:t>February 2</w:t>
      </w:r>
      <w:r w:rsidR="005F1BB0">
        <w:rPr>
          <w:rFonts w:ascii="Calibri" w:eastAsia="Times New Roman" w:hAnsi="Calibri" w:cs="Calibri"/>
          <w:color w:val="000000"/>
        </w:rPr>
        <w:t>8</w:t>
      </w:r>
      <w:r w:rsidR="0051154D" w:rsidRPr="00F74925">
        <w:rPr>
          <w:rFonts w:ascii="Calibri" w:eastAsia="Times New Roman" w:hAnsi="Calibri" w:cs="Calibri"/>
          <w:color w:val="000000"/>
        </w:rPr>
        <w:t>, 2024</w:t>
      </w:r>
    </w:p>
    <w:sectPr w:rsidR="00F67C42" w:rsidRPr="00F74925" w:rsidSect="00B22C0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EFC2" w14:textId="77777777" w:rsidR="008A030E" w:rsidRDefault="008A030E">
      <w:r>
        <w:separator/>
      </w:r>
    </w:p>
  </w:endnote>
  <w:endnote w:type="continuationSeparator" w:id="0">
    <w:p w14:paraId="7E772A75" w14:textId="77777777" w:rsidR="008A030E" w:rsidRDefault="008A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585C" w14:textId="77777777" w:rsidR="00F67C42" w:rsidRDefault="00EA7A2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E9F1" w14:textId="77777777" w:rsidR="008A030E" w:rsidRDefault="008A030E">
      <w:r>
        <w:separator/>
      </w:r>
    </w:p>
  </w:footnote>
  <w:footnote w:type="continuationSeparator" w:id="0">
    <w:p w14:paraId="4136B65D" w14:textId="77777777" w:rsidR="008A030E" w:rsidRDefault="008A0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D263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33C5D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C883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01E97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0A4E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BC9A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4EFD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6AC5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0A4B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006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94773"/>
    <w:multiLevelType w:val="multilevel"/>
    <w:tmpl w:val="0CC4103C"/>
    <w:name w:val="Indent"/>
    <w:lvl w:ilvl="0">
      <w:start w:val="1"/>
      <w:numFmt w:val="none"/>
      <w:pStyle w:val="Heading1"/>
      <w:suff w:val="nothing"/>
      <w:lvlText w:val=""/>
      <w:lvlJc w:val="left"/>
      <w:pPr>
        <w:tabs>
          <w:tab w:val="num" w:pos="0"/>
        </w:tabs>
        <w:ind w:left="0" w:firstLine="0"/>
      </w:pPr>
      <w:rPr>
        <w:b w:val="0"/>
        <w:i w:val="0"/>
        <w:caps w:val="0"/>
        <w:vanish w:val="0"/>
        <w:color w:val="010000"/>
        <w:u w:val="none"/>
      </w:rPr>
    </w:lvl>
    <w:lvl w:ilvl="1">
      <w:start w:val="1"/>
      <w:numFmt w:val="none"/>
      <w:pStyle w:val="Heading2"/>
      <w:suff w:val="nothing"/>
      <w:lvlText w:val=""/>
      <w:lvlJc w:val="left"/>
      <w:pPr>
        <w:tabs>
          <w:tab w:val="num" w:pos="720"/>
        </w:tabs>
        <w:ind w:left="0" w:firstLine="0"/>
      </w:pPr>
      <w:rPr>
        <w:b w:val="0"/>
        <w:i w:val="0"/>
        <w:caps w:val="0"/>
        <w:vanish w:val="0"/>
        <w:color w:val="010000"/>
        <w:u w:val="none"/>
      </w:rPr>
    </w:lvl>
    <w:lvl w:ilvl="2">
      <w:start w:val="1"/>
      <w:numFmt w:val="none"/>
      <w:pStyle w:val="Heading3"/>
      <w:suff w:val="nothing"/>
      <w:lvlText w:val=""/>
      <w:lvlJc w:val="left"/>
      <w:pPr>
        <w:tabs>
          <w:tab w:val="num" w:pos="1440"/>
        </w:tabs>
        <w:ind w:left="720" w:firstLine="0"/>
      </w:pPr>
      <w:rPr>
        <w:b w:val="0"/>
        <w:caps w:val="0"/>
        <w:vanish w:val="0"/>
        <w:color w:val="010000"/>
        <w:u w:val="none"/>
      </w:rPr>
    </w:lvl>
    <w:lvl w:ilvl="3">
      <w:start w:val="1"/>
      <w:numFmt w:val="none"/>
      <w:pStyle w:val="Heading4"/>
      <w:suff w:val="nothing"/>
      <w:lvlText w:val=""/>
      <w:lvlJc w:val="left"/>
      <w:pPr>
        <w:tabs>
          <w:tab w:val="num" w:pos="2160"/>
        </w:tabs>
        <w:ind w:left="1440" w:firstLine="0"/>
      </w:pPr>
      <w:rPr>
        <w:b w:val="0"/>
        <w:i w:val="0"/>
        <w:caps w:val="0"/>
        <w:vanish w:val="0"/>
        <w:color w:val="010000"/>
        <w:u w:val="none"/>
      </w:rPr>
    </w:lvl>
    <w:lvl w:ilvl="4">
      <w:start w:val="1"/>
      <w:numFmt w:val="none"/>
      <w:pStyle w:val="Heading5"/>
      <w:suff w:val="nothing"/>
      <w:lvlText w:val=""/>
      <w:lvlJc w:val="left"/>
      <w:pPr>
        <w:tabs>
          <w:tab w:val="num" w:pos="2880"/>
        </w:tabs>
        <w:ind w:left="2160" w:firstLine="0"/>
      </w:pPr>
      <w:rPr>
        <w:b w:val="0"/>
        <w:i w:val="0"/>
        <w:caps w:val="0"/>
        <w:vanish w:val="0"/>
        <w:color w:val="010000"/>
        <w:u w:val="none"/>
      </w:rPr>
    </w:lvl>
    <w:lvl w:ilvl="5">
      <w:start w:val="1"/>
      <w:numFmt w:val="none"/>
      <w:pStyle w:val="Heading6"/>
      <w:suff w:val="nothing"/>
      <w:lvlText w:val=""/>
      <w:lvlJc w:val="left"/>
      <w:pPr>
        <w:tabs>
          <w:tab w:val="num" w:pos="2880"/>
        </w:tabs>
        <w:ind w:left="2160" w:firstLine="0"/>
      </w:pPr>
      <w:rPr>
        <w:b w:val="0"/>
        <w:i w:val="0"/>
        <w:caps w:val="0"/>
        <w:vanish w:val="0"/>
        <w:color w:val="010000"/>
        <w:u w:val="none"/>
      </w:rPr>
    </w:lvl>
    <w:lvl w:ilvl="6">
      <w:start w:val="1"/>
      <w:numFmt w:val="none"/>
      <w:pStyle w:val="Heading7"/>
      <w:suff w:val="nothing"/>
      <w:lvlText w:val=""/>
      <w:lvlJc w:val="left"/>
      <w:pPr>
        <w:tabs>
          <w:tab w:val="num" w:pos="2880"/>
        </w:tabs>
        <w:ind w:left="2160" w:firstLine="0"/>
      </w:pPr>
      <w:rPr>
        <w:b w:val="0"/>
        <w:i w:val="0"/>
        <w:caps w:val="0"/>
        <w:vanish w:val="0"/>
        <w:color w:val="010000"/>
        <w:u w:val="none"/>
      </w:rPr>
    </w:lvl>
    <w:lvl w:ilvl="7">
      <w:start w:val="1"/>
      <w:numFmt w:val="none"/>
      <w:pStyle w:val="Heading8"/>
      <w:suff w:val="nothing"/>
      <w:lvlText w:val=""/>
      <w:lvlJc w:val="left"/>
      <w:pPr>
        <w:tabs>
          <w:tab w:val="num" w:pos="2880"/>
        </w:tabs>
        <w:ind w:left="2160" w:firstLine="0"/>
      </w:pPr>
      <w:rPr>
        <w:b w:val="0"/>
        <w:i w:val="0"/>
        <w:caps w:val="0"/>
        <w:vanish w:val="0"/>
        <w:color w:val="010000"/>
        <w:u w:val="none"/>
      </w:rPr>
    </w:lvl>
    <w:lvl w:ilvl="8">
      <w:start w:val="1"/>
      <w:numFmt w:val="none"/>
      <w:pStyle w:val="Heading9"/>
      <w:suff w:val="nothing"/>
      <w:lvlText w:val=""/>
      <w:lvlJc w:val="left"/>
      <w:pPr>
        <w:tabs>
          <w:tab w:val="num" w:pos="2880"/>
        </w:tabs>
        <w:ind w:left="2160" w:firstLine="0"/>
      </w:pPr>
      <w:rPr>
        <w:b w:val="0"/>
        <w:i w:val="0"/>
        <w:caps w:val="0"/>
        <w:vanish w:val="0"/>
        <w:color w:val="010000"/>
        <w:u w:val="none"/>
      </w:rPr>
    </w:lvl>
  </w:abstractNum>
  <w:abstractNum w:abstractNumId="11" w15:restartNumberingAfterBreak="0">
    <w:nsid w:val="4FB35A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462038"/>
    <w:multiLevelType w:val="multilevel"/>
    <w:tmpl w:val="940C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4030549">
    <w:abstractNumId w:val="9"/>
  </w:num>
  <w:num w:numId="2" w16cid:durableId="907691950">
    <w:abstractNumId w:val="7"/>
  </w:num>
  <w:num w:numId="3" w16cid:durableId="1239365474">
    <w:abstractNumId w:val="6"/>
  </w:num>
  <w:num w:numId="4" w16cid:durableId="1886796777">
    <w:abstractNumId w:val="5"/>
  </w:num>
  <w:num w:numId="5" w16cid:durableId="630868538">
    <w:abstractNumId w:val="4"/>
  </w:num>
  <w:num w:numId="6" w16cid:durableId="2073891011">
    <w:abstractNumId w:val="8"/>
  </w:num>
  <w:num w:numId="7" w16cid:durableId="677004320">
    <w:abstractNumId w:val="3"/>
  </w:num>
  <w:num w:numId="8" w16cid:durableId="1654605592">
    <w:abstractNumId w:val="2"/>
  </w:num>
  <w:num w:numId="9" w16cid:durableId="1924605389">
    <w:abstractNumId w:val="1"/>
  </w:num>
  <w:num w:numId="10" w16cid:durableId="1643534337">
    <w:abstractNumId w:val="0"/>
  </w:num>
  <w:num w:numId="11" w16cid:durableId="580800643">
    <w:abstractNumId w:val="10"/>
  </w:num>
  <w:num w:numId="12" w16cid:durableId="1806507285">
    <w:abstractNumId w:val="9"/>
  </w:num>
  <w:num w:numId="13" w16cid:durableId="109474132">
    <w:abstractNumId w:val="8"/>
  </w:num>
  <w:num w:numId="14" w16cid:durableId="349335224">
    <w:abstractNumId w:val="10"/>
  </w:num>
  <w:num w:numId="15" w16cid:durableId="106122421">
    <w:abstractNumId w:val="10"/>
  </w:num>
  <w:num w:numId="16" w16cid:durableId="1876775762">
    <w:abstractNumId w:val="10"/>
  </w:num>
  <w:num w:numId="17" w16cid:durableId="1906254153">
    <w:abstractNumId w:val="10"/>
  </w:num>
  <w:num w:numId="18" w16cid:durableId="533662056">
    <w:abstractNumId w:val="10"/>
  </w:num>
  <w:num w:numId="19" w16cid:durableId="1475903127">
    <w:abstractNumId w:val="10"/>
  </w:num>
  <w:num w:numId="20" w16cid:durableId="2116826470">
    <w:abstractNumId w:val="10"/>
  </w:num>
  <w:num w:numId="21" w16cid:durableId="840241356">
    <w:abstractNumId w:val="10"/>
  </w:num>
  <w:num w:numId="22" w16cid:durableId="636569757">
    <w:abstractNumId w:val="10"/>
  </w:num>
  <w:num w:numId="23" w16cid:durableId="517548941">
    <w:abstractNumId w:val="9"/>
  </w:num>
  <w:num w:numId="24" w16cid:durableId="1153060402">
    <w:abstractNumId w:val="8"/>
  </w:num>
  <w:num w:numId="25" w16cid:durableId="35399109">
    <w:abstractNumId w:val="7"/>
  </w:num>
  <w:num w:numId="26" w16cid:durableId="1229536422">
    <w:abstractNumId w:val="6"/>
  </w:num>
  <w:num w:numId="27" w16cid:durableId="303198992">
    <w:abstractNumId w:val="5"/>
  </w:num>
  <w:num w:numId="28" w16cid:durableId="433936667">
    <w:abstractNumId w:val="4"/>
  </w:num>
  <w:num w:numId="29" w16cid:durableId="13263697">
    <w:abstractNumId w:val="3"/>
  </w:num>
  <w:num w:numId="30" w16cid:durableId="2024284681">
    <w:abstractNumId w:val="2"/>
  </w:num>
  <w:num w:numId="31" w16cid:durableId="1216744773">
    <w:abstractNumId w:val="1"/>
  </w:num>
  <w:num w:numId="32" w16cid:durableId="1520048043">
    <w:abstractNumId w:val="0"/>
  </w:num>
  <w:num w:numId="33" w16cid:durableId="516120331">
    <w:abstractNumId w:val="11"/>
  </w:num>
  <w:num w:numId="34" w16cid:durableId="18146355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2sjAxsLA0tDQyNTFQ0lEKTi0uzszPAykwrAUA4XJb1CwAAAA="/>
    <w:docVar w:name="DMS_Work10" w:val="0~AL||1~107046615||2~2||3~Cal Water - Org Comp Committee Charter 02.21.2023  BOARD APPROVED (GDC Comments)||5~22375||6~22375||7~WORDX||8~DOCUMENTS||9~WORKING_DOCS||10~1/30/2024 7:11:59 AM||11~1/30/2024 6:31:34 AM||13~37843||14~False||17~public||18~22375||19~22375||21~True||22~True||23~False||25~19864||26~00005||27~KEEP||31~OC||32~CORPORATE||53~CG||54~CG_O||60~California Water Service Group||61~SEC Reporting and Corporate Governance||62~Keep||66~Orange County Office||67~Corporate||72~Corporate, General||73~CORPGEN: _Other||74~Sherley, Meghan||75~Sherley, Meghan||76~WORD 2016/2010/2007||77~Documents||78~WorkingDocuments,Research,Discovery,Evidence||82~docx||85~1/30/2024 9:41:08 AM||99~1/1/0001 12:00:00 AM||106~C:\Users\22375\AppData\Roaming\iManage\Work\Recent\19864-00005 - SEC Reporting and Corporate Governance (California Water Service Group)\Cal Water - Org Comp Committee Charter 02.21.2023  BOARD APPROV(107046615.2).docx||107~1/1/0001 12:00:00 AM||109~2/2/2024 3:22:41 AM||113~1/30/2024 6:31:34 AM||114~1/30/2024 7:11:59 AM||124~False||"/>
    <w:docVar w:name="DocIDClientMatter" w:val="False"/>
    <w:docVar w:name="DocIDType" w:val="EndOfDoc"/>
    <w:docVar w:name="LegacyDocIDRemoved" w:val="True"/>
  </w:docVars>
  <w:rsids>
    <w:rsidRoot w:val="00F67C42"/>
    <w:rsid w:val="00010880"/>
    <w:rsid w:val="00013A81"/>
    <w:rsid w:val="00024D78"/>
    <w:rsid w:val="00053BFC"/>
    <w:rsid w:val="00087776"/>
    <w:rsid w:val="000A2620"/>
    <w:rsid w:val="000B589E"/>
    <w:rsid w:val="000F008B"/>
    <w:rsid w:val="000F7AC1"/>
    <w:rsid w:val="00135988"/>
    <w:rsid w:val="00142E75"/>
    <w:rsid w:val="00153385"/>
    <w:rsid w:val="0016379C"/>
    <w:rsid w:val="00172848"/>
    <w:rsid w:val="00180C72"/>
    <w:rsid w:val="00194EF3"/>
    <w:rsid w:val="001A45BF"/>
    <w:rsid w:val="001C12BD"/>
    <w:rsid w:val="001C4B89"/>
    <w:rsid w:val="001D3DB4"/>
    <w:rsid w:val="00235878"/>
    <w:rsid w:val="002502AE"/>
    <w:rsid w:val="00275C98"/>
    <w:rsid w:val="0029486C"/>
    <w:rsid w:val="002C73E2"/>
    <w:rsid w:val="002F1D3E"/>
    <w:rsid w:val="002F6AE8"/>
    <w:rsid w:val="00301685"/>
    <w:rsid w:val="003414C6"/>
    <w:rsid w:val="003527FA"/>
    <w:rsid w:val="003655AF"/>
    <w:rsid w:val="0037263D"/>
    <w:rsid w:val="0038264A"/>
    <w:rsid w:val="0039758D"/>
    <w:rsid w:val="003A1480"/>
    <w:rsid w:val="003E338D"/>
    <w:rsid w:val="0040400E"/>
    <w:rsid w:val="004067EF"/>
    <w:rsid w:val="00443D85"/>
    <w:rsid w:val="00481CCB"/>
    <w:rsid w:val="00485B4A"/>
    <w:rsid w:val="00491B9B"/>
    <w:rsid w:val="0051154D"/>
    <w:rsid w:val="0052698C"/>
    <w:rsid w:val="00536EAC"/>
    <w:rsid w:val="00555E1D"/>
    <w:rsid w:val="00564DFC"/>
    <w:rsid w:val="00567C42"/>
    <w:rsid w:val="00585A1E"/>
    <w:rsid w:val="005D717C"/>
    <w:rsid w:val="005E65EA"/>
    <w:rsid w:val="005F1BB0"/>
    <w:rsid w:val="00615A90"/>
    <w:rsid w:val="00632B70"/>
    <w:rsid w:val="00634F39"/>
    <w:rsid w:val="00650B99"/>
    <w:rsid w:val="006A431D"/>
    <w:rsid w:val="007065F6"/>
    <w:rsid w:val="00751424"/>
    <w:rsid w:val="00756A17"/>
    <w:rsid w:val="007725CF"/>
    <w:rsid w:val="007A639B"/>
    <w:rsid w:val="007E1ECA"/>
    <w:rsid w:val="008006D4"/>
    <w:rsid w:val="00812056"/>
    <w:rsid w:val="00827001"/>
    <w:rsid w:val="008510ED"/>
    <w:rsid w:val="00885EDB"/>
    <w:rsid w:val="00895BB9"/>
    <w:rsid w:val="008A030E"/>
    <w:rsid w:val="009046B9"/>
    <w:rsid w:val="00944DDB"/>
    <w:rsid w:val="00990F09"/>
    <w:rsid w:val="009A73EF"/>
    <w:rsid w:val="009E1944"/>
    <w:rsid w:val="009E4396"/>
    <w:rsid w:val="009E5448"/>
    <w:rsid w:val="009F5086"/>
    <w:rsid w:val="00A12BB9"/>
    <w:rsid w:val="00A25449"/>
    <w:rsid w:val="00A57A0E"/>
    <w:rsid w:val="00A66413"/>
    <w:rsid w:val="00AB720E"/>
    <w:rsid w:val="00AB7690"/>
    <w:rsid w:val="00AF0C31"/>
    <w:rsid w:val="00AF0F57"/>
    <w:rsid w:val="00B20721"/>
    <w:rsid w:val="00B20F12"/>
    <w:rsid w:val="00B22C0F"/>
    <w:rsid w:val="00B30C8D"/>
    <w:rsid w:val="00B34E4F"/>
    <w:rsid w:val="00B50A57"/>
    <w:rsid w:val="00B6550D"/>
    <w:rsid w:val="00BB2104"/>
    <w:rsid w:val="00BE4780"/>
    <w:rsid w:val="00BE7CF6"/>
    <w:rsid w:val="00C13EA3"/>
    <w:rsid w:val="00CC6E66"/>
    <w:rsid w:val="00CC766C"/>
    <w:rsid w:val="00CD15F2"/>
    <w:rsid w:val="00CD3ACB"/>
    <w:rsid w:val="00CF266A"/>
    <w:rsid w:val="00D017FC"/>
    <w:rsid w:val="00D32969"/>
    <w:rsid w:val="00D47DDF"/>
    <w:rsid w:val="00D6130E"/>
    <w:rsid w:val="00D87A55"/>
    <w:rsid w:val="00DB6F85"/>
    <w:rsid w:val="00E17FD5"/>
    <w:rsid w:val="00E86D4E"/>
    <w:rsid w:val="00EA7A2B"/>
    <w:rsid w:val="00F67C42"/>
    <w:rsid w:val="00F74925"/>
    <w:rsid w:val="00F960F2"/>
    <w:rsid w:val="00F972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66F003"/>
  <w15:docId w15:val="{54A45CF1-6BBA-4515-8CB7-6DED271F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Single"/>
    <w:link w:val="Heading1Char"/>
    <w:qFormat/>
    <w:pPr>
      <w:keepNext/>
      <w:numPr>
        <w:numId w:val="22"/>
      </w:numPr>
      <w:tabs>
        <w:tab w:val="clear" w:pos="0"/>
      </w:tabs>
      <w:spacing w:after="240"/>
      <w:ind w:right="720"/>
      <w:jc w:val="center"/>
      <w:outlineLvl w:val="0"/>
    </w:pPr>
    <w:rPr>
      <w:rFonts w:eastAsiaTheme="majorEastAsia" w:cs="Times New Roman"/>
      <w:b/>
      <w:bCs/>
      <w:color w:val="000000"/>
      <w:szCs w:val="28"/>
    </w:rPr>
  </w:style>
  <w:style w:type="paragraph" w:styleId="Heading2">
    <w:name w:val="heading 2"/>
    <w:basedOn w:val="Normal"/>
    <w:next w:val="Single"/>
    <w:link w:val="Heading2Char"/>
    <w:semiHidden/>
    <w:unhideWhenUsed/>
    <w:qFormat/>
    <w:pPr>
      <w:numPr>
        <w:ilvl w:val="1"/>
        <w:numId w:val="22"/>
      </w:numPr>
      <w:tabs>
        <w:tab w:val="clear" w:pos="720"/>
      </w:tabs>
      <w:spacing w:after="240"/>
      <w:outlineLvl w:val="1"/>
    </w:pPr>
    <w:rPr>
      <w:rFonts w:eastAsiaTheme="majorEastAsia" w:cs="Times New Roman"/>
      <w:b/>
      <w:bCs/>
      <w:color w:val="000000"/>
      <w:szCs w:val="26"/>
    </w:rPr>
  </w:style>
  <w:style w:type="paragraph" w:styleId="Heading3">
    <w:name w:val="heading 3"/>
    <w:basedOn w:val="Normal"/>
    <w:next w:val="Single"/>
    <w:link w:val="Heading3Char"/>
    <w:semiHidden/>
    <w:unhideWhenUsed/>
    <w:qFormat/>
    <w:pPr>
      <w:numPr>
        <w:ilvl w:val="2"/>
        <w:numId w:val="22"/>
      </w:numPr>
      <w:spacing w:after="240"/>
      <w:outlineLvl w:val="2"/>
    </w:pPr>
    <w:rPr>
      <w:rFonts w:eastAsiaTheme="majorEastAsia" w:cs="Times New Roman"/>
      <w:b/>
      <w:bCs/>
      <w:color w:val="000000"/>
    </w:rPr>
  </w:style>
  <w:style w:type="paragraph" w:styleId="Heading4">
    <w:name w:val="heading 4"/>
    <w:basedOn w:val="Normal"/>
    <w:next w:val="Single"/>
    <w:link w:val="Heading4Char"/>
    <w:semiHidden/>
    <w:unhideWhenUsed/>
    <w:qFormat/>
    <w:pPr>
      <w:numPr>
        <w:ilvl w:val="3"/>
        <w:numId w:val="22"/>
      </w:numPr>
      <w:spacing w:after="240"/>
      <w:outlineLvl w:val="3"/>
    </w:pPr>
    <w:rPr>
      <w:rFonts w:eastAsiaTheme="majorEastAsia" w:cs="Times New Roman"/>
      <w:b/>
      <w:bCs/>
      <w:iCs/>
      <w:color w:val="000000"/>
    </w:rPr>
  </w:style>
  <w:style w:type="paragraph" w:styleId="Heading5">
    <w:name w:val="heading 5"/>
    <w:basedOn w:val="Normal"/>
    <w:next w:val="Single"/>
    <w:link w:val="Heading5Char"/>
    <w:semiHidden/>
    <w:unhideWhenUsed/>
    <w:qFormat/>
    <w:pPr>
      <w:numPr>
        <w:ilvl w:val="4"/>
        <w:numId w:val="22"/>
      </w:numPr>
      <w:spacing w:after="240"/>
      <w:outlineLvl w:val="4"/>
    </w:pPr>
    <w:rPr>
      <w:rFonts w:eastAsiaTheme="majorEastAsia" w:cs="Times New Roman"/>
      <w:b/>
      <w:color w:val="000000"/>
    </w:rPr>
  </w:style>
  <w:style w:type="paragraph" w:styleId="Heading6">
    <w:name w:val="heading 6"/>
    <w:basedOn w:val="Normal"/>
    <w:next w:val="Single"/>
    <w:link w:val="Heading6Char"/>
    <w:semiHidden/>
    <w:unhideWhenUsed/>
    <w:qFormat/>
    <w:pPr>
      <w:numPr>
        <w:ilvl w:val="5"/>
        <w:numId w:val="22"/>
      </w:numPr>
      <w:spacing w:after="240"/>
      <w:outlineLvl w:val="5"/>
    </w:pPr>
    <w:rPr>
      <w:rFonts w:eastAsiaTheme="majorEastAsia" w:cs="Times New Roman"/>
      <w:b/>
      <w:iCs/>
      <w:color w:val="000000"/>
    </w:rPr>
  </w:style>
  <w:style w:type="paragraph" w:styleId="Heading7">
    <w:name w:val="heading 7"/>
    <w:basedOn w:val="Normal"/>
    <w:next w:val="Single"/>
    <w:link w:val="Heading7Char"/>
    <w:semiHidden/>
    <w:unhideWhenUsed/>
    <w:qFormat/>
    <w:pPr>
      <w:numPr>
        <w:ilvl w:val="6"/>
        <w:numId w:val="22"/>
      </w:numPr>
      <w:spacing w:after="240"/>
      <w:outlineLvl w:val="6"/>
    </w:pPr>
    <w:rPr>
      <w:rFonts w:eastAsiaTheme="majorEastAsia" w:cs="Times New Roman"/>
      <w:b/>
      <w:iCs/>
      <w:color w:val="000000"/>
    </w:rPr>
  </w:style>
  <w:style w:type="paragraph" w:styleId="Heading8">
    <w:name w:val="heading 8"/>
    <w:basedOn w:val="Normal"/>
    <w:next w:val="Single"/>
    <w:link w:val="Heading8Char"/>
    <w:semiHidden/>
    <w:unhideWhenUsed/>
    <w:qFormat/>
    <w:pPr>
      <w:numPr>
        <w:ilvl w:val="7"/>
        <w:numId w:val="22"/>
      </w:numPr>
      <w:spacing w:after="240"/>
      <w:outlineLvl w:val="7"/>
    </w:pPr>
    <w:rPr>
      <w:rFonts w:eastAsiaTheme="majorEastAsia" w:cs="Times New Roman"/>
      <w:b/>
      <w:color w:val="000000"/>
      <w:szCs w:val="20"/>
    </w:rPr>
  </w:style>
  <w:style w:type="paragraph" w:styleId="Heading9">
    <w:name w:val="heading 9"/>
    <w:basedOn w:val="Normal"/>
    <w:next w:val="Single"/>
    <w:link w:val="Heading9Char"/>
    <w:semiHidden/>
    <w:unhideWhenUsed/>
    <w:qFormat/>
    <w:pPr>
      <w:numPr>
        <w:ilvl w:val="8"/>
        <w:numId w:val="22"/>
      </w:numPr>
      <w:spacing w:after="240"/>
      <w:outlineLvl w:val="8"/>
    </w:pPr>
    <w:rPr>
      <w:rFonts w:eastAsiaTheme="majorEastAsia" w:cs="Times New Roman"/>
      <w:b/>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qFormat/>
    <w:pPr>
      <w:spacing w:before="240"/>
      <w:ind w:firstLine="720"/>
    </w:pPr>
  </w:style>
  <w:style w:type="paragraph" w:customStyle="1" w:styleId="SingleBlock">
    <w:name w:val="Single Block"/>
    <w:basedOn w:val="Single"/>
    <w:qFormat/>
    <w:pPr>
      <w:ind w:firstLine="0"/>
    </w:pPr>
  </w:style>
  <w:style w:type="paragraph" w:customStyle="1" w:styleId="SingleCenter">
    <w:name w:val="Single Center"/>
    <w:basedOn w:val="Single"/>
    <w:next w:val="Single"/>
    <w:qFormat/>
    <w:pPr>
      <w:ind w:firstLine="0"/>
      <w:jc w:val="center"/>
    </w:pPr>
  </w:style>
  <w:style w:type="paragraph" w:customStyle="1" w:styleId="SingleHanging">
    <w:name w:val="Single Hanging"/>
    <w:basedOn w:val="Single"/>
    <w:qFormat/>
    <w:pPr>
      <w:ind w:left="720" w:hanging="720"/>
    </w:pPr>
  </w:style>
  <w:style w:type="paragraph" w:customStyle="1" w:styleId="SingleIndent">
    <w:name w:val="Single Indent"/>
    <w:basedOn w:val="Single"/>
    <w:qFormat/>
    <w:pPr>
      <w:ind w:left="720" w:right="720" w:firstLine="0"/>
    </w:pPr>
  </w:style>
  <w:style w:type="paragraph" w:customStyle="1" w:styleId="Double">
    <w:name w:val="Double"/>
    <w:basedOn w:val="Normal"/>
    <w:qFormat/>
    <w:pPr>
      <w:spacing w:line="480" w:lineRule="auto"/>
      <w:ind w:firstLine="720"/>
    </w:pPr>
  </w:style>
  <w:style w:type="paragraph" w:customStyle="1" w:styleId="DoubleBlock">
    <w:name w:val="Double Block"/>
    <w:basedOn w:val="Double"/>
    <w:qFormat/>
    <w:pPr>
      <w:ind w:firstLine="0"/>
    </w:pPr>
  </w:style>
  <w:style w:type="paragraph" w:customStyle="1" w:styleId="DoubleCenter">
    <w:name w:val="Double Center"/>
    <w:basedOn w:val="Double"/>
    <w:next w:val="Double"/>
    <w:qFormat/>
    <w:pPr>
      <w:ind w:firstLine="0"/>
      <w:jc w:val="center"/>
    </w:pPr>
  </w:style>
  <w:style w:type="paragraph" w:customStyle="1" w:styleId="DoubleHanging">
    <w:name w:val="Double Hanging"/>
    <w:basedOn w:val="Double"/>
    <w:qFormat/>
    <w:pPr>
      <w:ind w:left="720" w:hanging="720"/>
    </w:pPr>
  </w:style>
  <w:style w:type="paragraph" w:customStyle="1" w:styleId="DoubleIndent">
    <w:name w:val="Double Indent"/>
    <w:basedOn w:val="Double"/>
    <w:qFormat/>
    <w:pPr>
      <w:ind w:left="720" w:right="720" w:firstLine="0"/>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RightHalf">
    <w:name w:val="Right Half"/>
    <w:basedOn w:val="Normal"/>
    <w:qFormat/>
    <w:pPr>
      <w:ind w:left="4320"/>
    </w:pPr>
  </w:style>
  <w:style w:type="paragraph" w:styleId="FootnoteText">
    <w:name w:val="footnote text"/>
    <w:basedOn w:val="Normal"/>
    <w:link w:val="FootnoteTextChar"/>
    <w:uiPriority w:val="99"/>
    <w:semiHidden/>
    <w:unhideWhenUsed/>
    <w:pPr>
      <w:tabs>
        <w:tab w:val="right" w:pos="216"/>
        <w:tab w:val="left" w:pos="360"/>
      </w:tabs>
      <w:ind w:left="360" w:hanging="36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color w:val="0070C0"/>
      <w:position w:val="0"/>
      <w:sz w:val="20"/>
      <w:vertAlign w:val="superscript"/>
    </w:rPr>
  </w:style>
  <w:style w:type="paragraph" w:styleId="TOC1">
    <w:name w:val="toc 1"/>
    <w:basedOn w:val="Normal"/>
    <w:next w:val="Normal"/>
    <w:autoRedefine/>
    <w:semiHidden/>
    <w:pPr>
      <w:ind w:right="720"/>
    </w:pPr>
    <w:rPr>
      <w:rFonts w:cs="Times New Roman"/>
    </w:rPr>
  </w:style>
  <w:style w:type="paragraph" w:styleId="BlockText">
    <w:name w:val="Block Text"/>
    <w:basedOn w:val="Normal"/>
    <w:uiPriority w:val="99"/>
    <w:semiHidden/>
    <w:unhideWhenUs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szCs w:val="20"/>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eastAsiaTheme="majorEastAsia" w:cstheme="majorBidi"/>
      <w:shd w:val="pct20" w:color="auto" w:fill="auto"/>
    </w:rPr>
  </w:style>
  <w:style w:type="paragraph" w:styleId="Subtitle">
    <w:name w:val="Subtitle"/>
    <w:basedOn w:val="Normal"/>
    <w:next w:val="Single"/>
    <w:link w:val="SubtitleChar"/>
    <w:uiPriority w:val="11"/>
    <w:semiHidden/>
    <w:pPr>
      <w:numPr>
        <w:ilvl w:val="1"/>
      </w:numPr>
      <w:spacing w:before="240"/>
    </w:pPr>
    <w:rPr>
      <w:rFonts w:eastAsiaTheme="majorEastAsia" w:cstheme="majorBidi"/>
      <w:iCs/>
    </w:rPr>
  </w:style>
  <w:style w:type="character" w:customStyle="1" w:styleId="SubtitleChar">
    <w:name w:val="Subtitle Char"/>
    <w:basedOn w:val="DefaultParagraphFont"/>
    <w:link w:val="Subtitle"/>
    <w:uiPriority w:val="11"/>
    <w:semiHidden/>
    <w:rPr>
      <w:rFonts w:eastAsiaTheme="majorEastAsia" w:cstheme="majorBidi"/>
      <w:iCs/>
    </w:rPr>
  </w:style>
  <w:style w:type="paragraph" w:styleId="Title">
    <w:name w:val="Title"/>
    <w:basedOn w:val="Normal"/>
    <w:next w:val="Single"/>
    <w:link w:val="TitleChar"/>
    <w:uiPriority w:val="10"/>
    <w:semiHidden/>
    <w:pPr>
      <w:keepNext/>
      <w:spacing w:before="240"/>
    </w:pPr>
    <w:rPr>
      <w:rFonts w:eastAsiaTheme="majorEastAsia" w:cstheme="majorBidi"/>
      <w:b/>
      <w:szCs w:val="52"/>
    </w:rPr>
  </w:style>
  <w:style w:type="character" w:customStyle="1" w:styleId="TitleChar">
    <w:name w:val="Title Char"/>
    <w:basedOn w:val="DefaultParagraphFont"/>
    <w:link w:val="Title"/>
    <w:uiPriority w:val="10"/>
    <w:semiHidden/>
    <w:rPr>
      <w:rFonts w:eastAsiaTheme="majorEastAsia" w:cstheme="majorBidi"/>
      <w:b/>
      <w:szCs w:val="52"/>
    </w:rPr>
  </w:style>
  <w:style w:type="paragraph" w:styleId="TOAHeading">
    <w:name w:val="toa heading"/>
    <w:basedOn w:val="Normal"/>
    <w:next w:val="Normal"/>
    <w:uiPriority w:val="99"/>
    <w:semiHidden/>
    <w:unhideWhenUsed/>
    <w:pPr>
      <w:spacing w:before="120"/>
    </w:pPr>
    <w:rPr>
      <w:rFonts w:eastAsiaTheme="majorEastAsia" w:cstheme="majorBidi"/>
      <w:b/>
      <w:bCs/>
    </w:rPr>
  </w:style>
  <w:style w:type="character" w:customStyle="1" w:styleId="Heading1Char">
    <w:name w:val="Heading 1 Char"/>
    <w:basedOn w:val="DefaultParagraphFont"/>
    <w:link w:val="Heading1"/>
    <w:rPr>
      <w:rFonts w:eastAsiaTheme="majorEastAsia" w:cs="Times New Roman"/>
      <w:b/>
      <w:bCs/>
      <w:color w:val="000000"/>
      <w:szCs w:val="28"/>
    </w:rPr>
  </w:style>
  <w:style w:type="paragraph" w:styleId="TOCHeading">
    <w:name w:val="TOC Heading"/>
    <w:basedOn w:val="Normal"/>
    <w:next w:val="TOCPage"/>
    <w:uiPriority w:val="39"/>
    <w:semiHidden/>
    <w:qFormat/>
    <w:pPr>
      <w:spacing w:before="240"/>
      <w:jc w:val="center"/>
    </w:pPr>
    <w:rPr>
      <w:b/>
      <w:caps/>
    </w:rPr>
  </w:style>
  <w:style w:type="character" w:customStyle="1" w:styleId="Heading9Char">
    <w:name w:val="Heading 9 Char"/>
    <w:basedOn w:val="DefaultParagraphFont"/>
    <w:link w:val="Heading9"/>
    <w:semiHidden/>
    <w:rPr>
      <w:rFonts w:eastAsiaTheme="majorEastAsia" w:cs="Times New Roman"/>
      <w:b/>
      <w:iCs/>
      <w:color w:val="000000"/>
      <w:szCs w:val="20"/>
    </w:rPr>
  </w:style>
  <w:style w:type="character" w:customStyle="1" w:styleId="Heading8Char">
    <w:name w:val="Heading 8 Char"/>
    <w:basedOn w:val="DefaultParagraphFont"/>
    <w:link w:val="Heading8"/>
    <w:semiHidden/>
    <w:rPr>
      <w:rFonts w:eastAsiaTheme="majorEastAsia" w:cs="Times New Roman"/>
      <w:b/>
      <w:color w:val="000000"/>
      <w:szCs w:val="20"/>
    </w:rPr>
  </w:style>
  <w:style w:type="character" w:customStyle="1" w:styleId="Heading7Char">
    <w:name w:val="Heading 7 Char"/>
    <w:basedOn w:val="DefaultParagraphFont"/>
    <w:link w:val="Heading7"/>
    <w:semiHidden/>
    <w:rPr>
      <w:rFonts w:eastAsiaTheme="majorEastAsia" w:cs="Times New Roman"/>
      <w:b/>
      <w:iCs/>
      <w:color w:val="000000"/>
    </w:rPr>
  </w:style>
  <w:style w:type="character" w:customStyle="1" w:styleId="Heading6Char">
    <w:name w:val="Heading 6 Char"/>
    <w:basedOn w:val="DefaultParagraphFont"/>
    <w:link w:val="Heading6"/>
    <w:semiHidden/>
    <w:rPr>
      <w:rFonts w:eastAsiaTheme="majorEastAsia" w:cs="Times New Roman"/>
      <w:b/>
      <w:iCs/>
      <w:color w:val="000000"/>
    </w:rPr>
  </w:style>
  <w:style w:type="character" w:customStyle="1" w:styleId="Heading5Char">
    <w:name w:val="Heading 5 Char"/>
    <w:basedOn w:val="DefaultParagraphFont"/>
    <w:link w:val="Heading5"/>
    <w:semiHidden/>
    <w:rPr>
      <w:rFonts w:eastAsiaTheme="majorEastAsia" w:cs="Times New Roman"/>
      <w:b/>
      <w:color w:val="000000"/>
    </w:rPr>
  </w:style>
  <w:style w:type="character" w:customStyle="1" w:styleId="Heading4Char">
    <w:name w:val="Heading 4 Char"/>
    <w:basedOn w:val="DefaultParagraphFont"/>
    <w:link w:val="Heading4"/>
    <w:semiHidden/>
    <w:rPr>
      <w:rFonts w:eastAsiaTheme="majorEastAsia" w:cs="Times New Roman"/>
      <w:b/>
      <w:bCs/>
      <w:iCs/>
      <w:color w:val="000000"/>
    </w:rPr>
  </w:style>
  <w:style w:type="character" w:customStyle="1" w:styleId="Heading3Char">
    <w:name w:val="Heading 3 Char"/>
    <w:basedOn w:val="DefaultParagraphFont"/>
    <w:link w:val="Heading3"/>
    <w:semiHidden/>
    <w:rPr>
      <w:rFonts w:eastAsiaTheme="majorEastAsia" w:cs="Times New Roman"/>
      <w:b/>
      <w:bCs/>
      <w:color w:val="000000"/>
    </w:rPr>
  </w:style>
  <w:style w:type="character" w:customStyle="1" w:styleId="Heading2Char">
    <w:name w:val="Heading 2 Char"/>
    <w:basedOn w:val="DefaultParagraphFont"/>
    <w:link w:val="Heading2"/>
    <w:semiHidden/>
    <w:rPr>
      <w:rFonts w:eastAsiaTheme="majorEastAsia" w:cs="Times New Roman"/>
      <w:b/>
      <w:bCs/>
      <w:color w:val="000000"/>
      <w:szCs w:val="26"/>
    </w:rPr>
  </w:style>
  <w:style w:type="paragraph" w:styleId="TOC2">
    <w:name w:val="toc 2"/>
    <w:basedOn w:val="Normal"/>
    <w:next w:val="Normal"/>
    <w:autoRedefine/>
    <w:semiHidden/>
    <w:pPr>
      <w:tabs>
        <w:tab w:val="right" w:leader="dot" w:pos="9350"/>
      </w:tabs>
      <w:ind w:left="950" w:right="720" w:hanging="475"/>
    </w:pPr>
    <w:rPr>
      <w:rFonts w:cs="Times New Roman"/>
    </w:rPr>
  </w:style>
  <w:style w:type="paragraph" w:styleId="TOC3">
    <w:name w:val="toc 3"/>
    <w:basedOn w:val="Normal"/>
    <w:next w:val="Normal"/>
    <w:autoRedefine/>
    <w:semiHidden/>
    <w:pPr>
      <w:tabs>
        <w:tab w:val="right" w:leader="dot" w:pos="9350"/>
      </w:tabs>
      <w:ind w:left="950" w:right="720" w:hanging="475"/>
    </w:pPr>
    <w:rPr>
      <w:rFonts w:cs="Times New Roman"/>
    </w:rPr>
  </w:style>
  <w:style w:type="paragraph" w:styleId="TOC4">
    <w:name w:val="toc 4"/>
    <w:basedOn w:val="Normal"/>
    <w:next w:val="Normal"/>
    <w:autoRedefine/>
    <w:semiHidden/>
    <w:pPr>
      <w:tabs>
        <w:tab w:val="right" w:leader="dot" w:pos="9350"/>
      </w:tabs>
      <w:ind w:left="1440" w:right="720" w:hanging="475"/>
    </w:pPr>
    <w:rPr>
      <w:rFonts w:cs="Times New Roman"/>
    </w:rPr>
  </w:style>
  <w:style w:type="paragraph" w:styleId="TOC5">
    <w:name w:val="toc 5"/>
    <w:basedOn w:val="Normal"/>
    <w:next w:val="Normal"/>
    <w:autoRedefine/>
    <w:semiHidden/>
    <w:pPr>
      <w:tabs>
        <w:tab w:val="right" w:leader="dot" w:pos="9350"/>
      </w:tabs>
      <w:ind w:left="1800" w:right="389" w:hanging="360"/>
    </w:pPr>
    <w:rPr>
      <w:rFonts w:cs="Times New Roman"/>
    </w:rPr>
  </w:style>
  <w:style w:type="paragraph" w:styleId="TOC6">
    <w:name w:val="toc 6"/>
    <w:basedOn w:val="Normal"/>
    <w:next w:val="Normal"/>
    <w:autoRedefine/>
    <w:semiHidden/>
    <w:pPr>
      <w:tabs>
        <w:tab w:val="right" w:leader="dot" w:pos="9350"/>
      </w:tabs>
      <w:ind w:left="2160" w:right="389" w:hanging="360"/>
    </w:pPr>
    <w:rPr>
      <w:rFonts w:cs="Times New Roman"/>
    </w:rPr>
  </w:style>
  <w:style w:type="paragraph" w:styleId="TOC7">
    <w:name w:val="toc 7"/>
    <w:basedOn w:val="Normal"/>
    <w:next w:val="Normal"/>
    <w:autoRedefine/>
    <w:semiHidden/>
    <w:pPr>
      <w:tabs>
        <w:tab w:val="right" w:leader="dot" w:pos="9350"/>
      </w:tabs>
      <w:ind w:left="2160" w:right="389" w:hanging="360"/>
    </w:pPr>
    <w:rPr>
      <w:rFonts w:cs="Times New Roman"/>
    </w:rPr>
  </w:style>
  <w:style w:type="paragraph" w:styleId="TOC8">
    <w:name w:val="toc 8"/>
    <w:basedOn w:val="Normal"/>
    <w:next w:val="Normal"/>
    <w:autoRedefine/>
    <w:semiHidden/>
    <w:pPr>
      <w:tabs>
        <w:tab w:val="right" w:leader="dot" w:pos="9350"/>
      </w:tabs>
      <w:ind w:left="2160" w:right="389" w:hanging="360"/>
    </w:pPr>
    <w:rPr>
      <w:rFonts w:cs="Times New Roman"/>
    </w:rPr>
  </w:style>
  <w:style w:type="paragraph" w:styleId="TOC9">
    <w:name w:val="toc 9"/>
    <w:basedOn w:val="Normal"/>
    <w:next w:val="Normal"/>
    <w:autoRedefine/>
    <w:semiHidden/>
    <w:pPr>
      <w:tabs>
        <w:tab w:val="right" w:leader="dot" w:pos="9350"/>
      </w:tabs>
      <w:ind w:left="2160" w:right="389" w:hanging="360"/>
    </w:pPr>
    <w:rPr>
      <w:rFonts w:cs="Times New Roman"/>
    </w:rPr>
  </w:style>
  <w:style w:type="character" w:customStyle="1" w:styleId="DocID">
    <w:name w:val="DocID"/>
    <w:basedOn w:val="DefaultParagraphFont"/>
    <w:semiHidden/>
    <w:rPr>
      <w:caps/>
      <w:smallCaps w:val="0"/>
      <w:sz w:val="16"/>
    </w:rPr>
  </w:style>
  <w:style w:type="paragraph" w:customStyle="1" w:styleId="SingleIndent5">
    <w:name w:val="Single Indent .5"/>
    <w:basedOn w:val="Normal"/>
    <w:semiHidden/>
    <w:qFormat/>
    <w:pPr>
      <w:spacing w:before="240"/>
      <w:ind w:left="720" w:right="29"/>
    </w:pPr>
  </w:style>
  <w:style w:type="paragraph" w:customStyle="1" w:styleId="SingleIndent1">
    <w:name w:val="Single Indent 1"/>
    <w:basedOn w:val="Normal"/>
    <w:semiHidden/>
    <w:qFormat/>
    <w:pPr>
      <w:spacing w:before="240"/>
      <w:ind w:left="1440"/>
    </w:pPr>
  </w:style>
  <w:style w:type="paragraph" w:customStyle="1" w:styleId="SingleIndent15">
    <w:name w:val="Single Indent 1.5"/>
    <w:basedOn w:val="Normal"/>
    <w:semiHidden/>
    <w:qFormat/>
    <w:pPr>
      <w:spacing w:before="240"/>
      <w:ind w:left="2160"/>
    </w:pPr>
  </w:style>
  <w:style w:type="paragraph" w:customStyle="1" w:styleId="SingleIndent2">
    <w:name w:val="Single Indent 2"/>
    <w:basedOn w:val="Normal"/>
    <w:semiHidden/>
    <w:qFormat/>
    <w:pPr>
      <w:spacing w:before="240"/>
      <w:ind w:left="2880"/>
    </w:pPr>
  </w:style>
  <w:style w:type="paragraph" w:customStyle="1" w:styleId="TOCPage">
    <w:name w:val="TOC Page"/>
    <w:basedOn w:val="Normal"/>
    <w:next w:val="TOC1"/>
    <w:link w:val="TOCPageChar"/>
    <w:semiHidden/>
    <w:pPr>
      <w:spacing w:before="240"/>
      <w:jc w:val="right"/>
    </w:pPr>
    <w:rPr>
      <w:sz w:val="20"/>
      <w:u w:val="single"/>
    </w:rPr>
  </w:style>
  <w:style w:type="character" w:customStyle="1" w:styleId="SingleChar">
    <w:name w:val="Single Char"/>
    <w:basedOn w:val="DefaultParagraphFont"/>
    <w:link w:val="Single"/>
  </w:style>
  <w:style w:type="character" w:customStyle="1" w:styleId="TOCPageChar">
    <w:name w:val="TOC Page Char"/>
    <w:basedOn w:val="SingleChar"/>
    <w:link w:val="TOCPage"/>
    <w:semiHidden/>
    <w:rPr>
      <w:sz w:val="20"/>
      <w:u w:val="single"/>
    </w:rPr>
  </w:style>
  <w:style w:type="paragraph" w:styleId="ListBullet">
    <w:name w:val="List Bullet"/>
    <w:basedOn w:val="Normal"/>
    <w:unhideWhenUsed/>
    <w:qFormat/>
    <w:pPr>
      <w:numPr>
        <w:numId w:val="23"/>
      </w:numPr>
    </w:pPr>
  </w:style>
  <w:style w:type="paragraph" w:styleId="ListNumber">
    <w:name w:val="List Number"/>
    <w:basedOn w:val="Normal"/>
    <w:unhideWhenUsed/>
    <w:qFormat/>
    <w:pPr>
      <w:numPr>
        <w:numId w:val="24"/>
      </w:numPr>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NormalIndent">
    <w:name w:val="Normal Indent"/>
    <w:basedOn w:val="Normal"/>
    <w:uiPriority w:val="99"/>
    <w:semiHidden/>
    <w:unhideWhenUsed/>
    <w:pPr>
      <w:ind w:left="720"/>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TableofFigures">
    <w:name w:val="table of figures"/>
    <w:basedOn w:val="Normal"/>
    <w:next w:val="Normal"/>
    <w:uiPriority w:val="99"/>
    <w:semiHidden/>
    <w:unhideWhenUsed/>
  </w:style>
  <w:style w:type="character" w:styleId="CommentReference">
    <w:name w:val="annotation reference"/>
    <w:basedOn w:val="DefaultParagraphFont"/>
    <w:uiPriority w:val="99"/>
    <w:semiHidden/>
    <w:unhideWhenUsed/>
    <w:rPr>
      <w:sz w:val="16"/>
      <w:szCs w:val="16"/>
    </w:rPr>
  </w:style>
  <w:style w:type="character" w:styleId="LineNumber">
    <w:name w:val="line number"/>
    <w:basedOn w:val="DefaultParagraphFont"/>
    <w:uiPriority w:val="99"/>
    <w:semiHidden/>
    <w:unhideWhenUsed/>
  </w:style>
  <w:style w:type="character" w:styleId="PageNumber">
    <w:name w:val="page number"/>
    <w:basedOn w:val="DefaultParagraphFont"/>
    <w:uiPriority w:val="99"/>
    <w:semiHidden/>
    <w:unhideWhenUsed/>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TableofAuthorities">
    <w:name w:val="table of authorities"/>
    <w:basedOn w:val="Normal"/>
    <w:next w:val="Normal"/>
    <w:uiPriority w:val="99"/>
    <w:semiHidden/>
    <w:unhideWhenUsed/>
    <w:pPr>
      <w:ind w:left="240" w:hanging="24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25"/>
      </w:numPr>
      <w:contextualSpacing/>
    </w:pPr>
  </w:style>
  <w:style w:type="paragraph" w:styleId="ListBullet3">
    <w:name w:val="List Bullet 3"/>
    <w:basedOn w:val="Normal"/>
    <w:uiPriority w:val="99"/>
    <w:semiHidden/>
    <w:unhideWhenUsed/>
    <w:pPr>
      <w:numPr>
        <w:numId w:val="26"/>
      </w:numPr>
      <w:contextualSpacing/>
    </w:pPr>
  </w:style>
  <w:style w:type="paragraph" w:styleId="ListBullet4">
    <w:name w:val="List Bullet 4"/>
    <w:basedOn w:val="Normal"/>
    <w:uiPriority w:val="99"/>
    <w:semiHidden/>
    <w:unhideWhenUsed/>
    <w:pPr>
      <w:numPr>
        <w:numId w:val="27"/>
      </w:numPr>
      <w:contextualSpacing/>
    </w:pPr>
  </w:style>
  <w:style w:type="paragraph" w:styleId="ListBullet5">
    <w:name w:val="List Bullet 5"/>
    <w:basedOn w:val="Normal"/>
    <w:uiPriority w:val="99"/>
    <w:semiHidden/>
    <w:unhideWhenUsed/>
    <w:pPr>
      <w:numPr>
        <w:numId w:val="28"/>
      </w:numPr>
      <w:contextualSpacing/>
    </w:pPr>
  </w:style>
  <w:style w:type="paragraph" w:styleId="ListNumber2">
    <w:name w:val="List Number 2"/>
    <w:basedOn w:val="Normal"/>
    <w:uiPriority w:val="99"/>
    <w:semiHidden/>
    <w:unhideWhenUsed/>
    <w:pPr>
      <w:numPr>
        <w:numId w:val="29"/>
      </w:numPr>
      <w:contextualSpacing/>
    </w:pPr>
  </w:style>
  <w:style w:type="paragraph" w:styleId="ListNumber3">
    <w:name w:val="List Number 3"/>
    <w:basedOn w:val="Normal"/>
    <w:uiPriority w:val="99"/>
    <w:semiHidden/>
    <w:unhideWhenUsed/>
    <w:pPr>
      <w:numPr>
        <w:numId w:val="30"/>
      </w:numPr>
      <w:contextualSpacing/>
    </w:pPr>
  </w:style>
  <w:style w:type="paragraph" w:styleId="ListNumber4">
    <w:name w:val="List Number 4"/>
    <w:basedOn w:val="Normal"/>
    <w:uiPriority w:val="99"/>
    <w:semiHidden/>
    <w:unhideWhenUsed/>
    <w:pPr>
      <w:numPr>
        <w:numId w:val="31"/>
      </w:numPr>
      <w:contextualSpacing/>
    </w:pPr>
  </w:style>
  <w:style w:type="paragraph" w:styleId="ListNumber5">
    <w:name w:val="List Number 5"/>
    <w:basedOn w:val="Normal"/>
    <w:uiPriority w:val="99"/>
    <w:semiHidden/>
    <w:unhideWhenUsed/>
    <w:pPr>
      <w:numPr>
        <w:numId w:val="32"/>
      </w:numPr>
      <w:contextualSpacing/>
    </w:p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semiHidden/>
    <w:rPr>
      <w:i/>
      <w:iCs/>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NormalWeb">
    <w:name w:val="Normal (Web)"/>
    <w:basedOn w:val="Normal"/>
    <w:uiPriority w:val="99"/>
    <w:semiHidden/>
    <w:unhideWhenUsed/>
    <w:rPr>
      <w:rFonts w:cs="Times New Roman"/>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0"/>
      <w:szCs w:val="20"/>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0"/>
      <w:szCs w:val="20"/>
    </w:rPr>
  </w:style>
  <w:style w:type="character" w:styleId="HTMLVariable">
    <w:name w:val="HTML Variable"/>
    <w:basedOn w:val="DefaultParagraphFont"/>
    <w:uiPriority w:val="99"/>
    <w:semiHidden/>
    <w:unhideWhenUsed/>
    <w:rPr>
      <w:i/>
      <w:i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1"/>
  </w:style>
  <w:style w:type="paragraph" w:styleId="ListParagraph">
    <w:name w:val="List Paragraph"/>
    <w:basedOn w:val="Normal"/>
    <w:uiPriority w:val="34"/>
    <w:pPr>
      <w:ind w:left="720"/>
      <w:contextualSpacing/>
    </w:p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rPr>
  </w:style>
  <w:style w:type="character" w:styleId="SubtleEmphasis">
    <w:name w:val="Subtle Emphasis"/>
    <w:basedOn w:val="DefaultParagraphFont"/>
    <w:uiPriority w:val="19"/>
    <w:semiHidden/>
    <w:rPr>
      <w:i/>
      <w:iCs/>
      <w:color w:val="808080" w:themeColor="text1" w:themeTint="7F"/>
    </w:rPr>
  </w:style>
  <w:style w:type="character" w:styleId="IntenseEmphasis">
    <w:name w:val="Intense Emphasis"/>
    <w:basedOn w:val="DefaultParagraphFont"/>
    <w:uiPriority w:val="21"/>
    <w:semiHidden/>
    <w:rPr>
      <w:b/>
      <w:bCs/>
      <w:i/>
      <w:iCs/>
      <w:color w:val="4F81BD" w:themeColor="accent1"/>
    </w:rPr>
  </w:style>
  <w:style w:type="character" w:styleId="SubtleReference">
    <w:name w:val="Subtle Reference"/>
    <w:basedOn w:val="DefaultParagraphFont"/>
    <w:uiPriority w:val="31"/>
    <w:semiHidden/>
    <w:rPr>
      <w:smallCaps/>
      <w:color w:val="C0504D" w:themeColor="accent2"/>
      <w:u w:val="single"/>
    </w:rPr>
  </w:style>
  <w:style w:type="character" w:styleId="IntenseReference">
    <w:name w:val="Intense Reference"/>
    <w:basedOn w:val="DefaultParagraphFont"/>
    <w:uiPriority w:val="32"/>
    <w:semiHidden/>
    <w:rPr>
      <w:b/>
      <w:bCs/>
      <w:smallCaps/>
      <w:color w:val="C0504D" w:themeColor="accent2"/>
      <w:spacing w:val="5"/>
      <w:u w:val="single"/>
    </w:rPr>
  </w:style>
  <w:style w:type="character" w:styleId="BookTitle">
    <w:name w:val="Book Title"/>
    <w:basedOn w:val="DefaultParagraphFont"/>
    <w:uiPriority w:val="33"/>
    <w:semiHidden/>
    <w:rPr>
      <w:b/>
      <w:bCs/>
      <w:smallCaps/>
      <w:spacing w:val="5"/>
    </w:rPr>
  </w:style>
  <w:style w:type="paragraph" w:styleId="Bibliography">
    <w:name w:val="Bibliography"/>
    <w:basedOn w:val="Normal"/>
    <w:next w:val="Normal"/>
    <w:uiPriority w:val="37"/>
    <w:semiHidden/>
    <w:unhideWhenUsed/>
  </w:style>
  <w:style w:type="character" w:customStyle="1" w:styleId="ccbntxt1">
    <w:name w:val="ccbntxt1"/>
    <w:basedOn w:val="DefaultParagraphFont"/>
    <w:rPr>
      <w:rFonts w:ascii="Verdana" w:hAnsi="Verdana" w:hint="default"/>
      <w:sz w:val="18"/>
      <w:szCs w:val="18"/>
    </w:rPr>
  </w:style>
  <w:style w:type="paragraph" w:styleId="Revision">
    <w:name w:val="Revision"/>
    <w:hidden/>
    <w:uiPriority w:val="99"/>
    <w:semiHidden/>
    <w:rsid w:val="001C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0080">
      <w:bodyDiv w:val="1"/>
      <w:marLeft w:val="0"/>
      <w:marRight w:val="0"/>
      <w:marTop w:val="0"/>
      <w:marBottom w:val="0"/>
      <w:divBdr>
        <w:top w:val="none" w:sz="0" w:space="0" w:color="auto"/>
        <w:left w:val="none" w:sz="0" w:space="0" w:color="auto"/>
        <w:bottom w:val="none" w:sz="0" w:space="0" w:color="auto"/>
        <w:right w:val="none" w:sz="0" w:space="0" w:color="auto"/>
      </w:divBdr>
      <w:divsChild>
        <w:div w:id="1936937146">
          <w:marLeft w:val="16"/>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4785</Characters>
  <Application>Microsoft Office Word</Application>
  <DocSecurity>0</DocSecurity>
  <Lines>265</Lines>
  <Paragraphs>188</Paragraphs>
  <ScaleCrop>false</ScaleCrop>
  <Company>*</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Mortensen, Michelle</dc:creator>
  <cp:lastModifiedBy>Glen, Paula</cp:lastModifiedBy>
  <cp:revision>4</cp:revision>
  <cp:lastPrinted>1900-01-01T08:00:00Z</cp:lastPrinted>
  <dcterms:created xsi:type="dcterms:W3CDTF">2024-02-28T18:11:00Z</dcterms:created>
  <dcterms:modified xsi:type="dcterms:W3CDTF">2024-02-29T00:54:00Z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ies>
</file>